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WP-2026-SENI-ARCH-01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WP-2026-SENI — SERIES ARCHITECTURE</w:t>
      </w:r>
    </w:p>
    <w:p>
      <w:pPr>
        <w:spacing w:before="0" w:after="160" w:line="276"/>
        <w:jc w:val="left"/>
      </w:pPr>
      <w:r>
        <w:rPr>
          <w:rFonts w:ascii="Arial" w:cs="Arial" w:eastAsia="Arial" w:hAnsi="Arial"/>
          <w:b/>
          <w:bCs/>
          <w:i w:val="false"/>
          <w:iCs w:val="false"/>
          <w:caps w:val="false"/>
          <w:color w:val="4A5568"/>
          <w:sz w:val="24"/>
          <w:szCs w:val="24"/>
        </w:rPr>
        <w:t xml:space="preserve">Strategic Enforcement Node Index — Product Layers, Scope, Evidentiary Standards, and Limitations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This document represents independent analytical assessment and does not constitute official policy direction or legal advice. WP-2026 series: UNCLASSIFIED // OPEN SOURCE. CC BY 4.0.</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WP-2026-SENI corpus comprises three analytically distinct product layers — Intelligence Estimate, Enforcement Playbook, and Strategic Model — that are designed to operate together but serve different decision functions and hold different evidentiary standards. Treating any layer as a substitute for another produces analytical error.</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corpus has reached operational readiness at the OSINT ceiling: the Intelligence Estimate layer is complete, the Enforcement Playbook layer has achieved D2=[5-OSINT] financial attribution on the primary Isotope JSC pathway, and the Strategic Model layer is complete — system resilience modeling, China escalation ladder, and sanctions authority analysis are all present. The remaining gap is classified data collection and interagency validation, not analytical design.</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Series Overview and Intended Use</w:t>
      </w:r>
    </w:p>
    <w:p>
      <w:pPr>
        <w:spacing w:before="40" w:after="120" w:line="276"/>
        <w:jc w:val="left"/>
      </w:pPr>
      <w:r>
        <w:rPr>
          <w:rFonts w:ascii="Arial" w:cs="Arial" w:eastAsia="Arial" w:hAnsi="Arial"/>
          <w:b w:val="false"/>
          <w:bCs w:val="false"/>
          <w:i w:val="false"/>
          <w:iCs w:val="false"/>
          <w:caps w:val="false"/>
          <w:color w:val="000000"/>
          <w:sz w:val="22"/>
          <w:szCs w:val="22"/>
        </w:rPr>
        <w:t xml:space="preserve">The WP-2026-SENI corpus maps the Russian nuclear fuel cycle as a sanctions enforcement targeting framework. It is independent policy research produced entirely from open-source materials under standard academic and professional analytical methods. It does not represent any government agency's position, does not constitute legal advice, and does not constitute an official sanctions designation recommendation.</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corpus is designed to be useful at three distinct stages of policy engagement: as an intelligence estimate for understanding the target environment, as an enforcement playbook for identifying viable action options, and as a strategic model for evaluating second-order effects. These are different analytical products with different evidentiary requirements, different audiences, and different tolerance for inference. Confusing them produces predictable failure modes.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Three Product Layers — Definitions and Scope</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1B2A4A" w:sz="8"/>
              <w:left w:val="single" w:color="1B2A4A" w:sz="8"/>
              <w:bottom w:val="single" w:color="1B2A4A" w:sz="8"/>
              <w:right w:val="single" w:color="1B2A4A" w:sz="8"/>
            </w:tcBorders>
            <w:shd w:fill="1B2A4A" w:val="clear"/>
            <w:tcMar>
              <w:top w:type="dxa" w:w="120"/>
              <w:left w:type="dxa" w:w="200"/>
              <w:bottom w:type="dxa" w:w="120"/>
              <w:right w:type="dxa" w:w="200"/>
            </w:tcMar>
          </w:tcPr>
          <w:p>
            <w:pPr>
              <w:spacing w:before="0" w:after="20" w:line="276"/>
              <w:jc w:val="left"/>
            </w:pPr>
            <w:r>
              <w:rPr>
                <w:rFonts w:ascii="Arial" w:cs="Arial" w:eastAsia="Arial" w:hAnsi="Arial"/>
                <w:b/>
                <w:bCs/>
                <w:i w:val="false"/>
                <w:iCs w:val="false"/>
                <w:caps/>
                <w:color w:val="FFFFFF"/>
                <w:sz w:val="28"/>
                <w:szCs w:val="28"/>
              </w:rPr>
              <w:t xml:space="preserve">LAYER 1  </w:t>
            </w:r>
            <w:r>
              <w:rPr>
                <w:rFonts w:ascii="Arial" w:cs="Arial" w:eastAsia="Arial" w:hAnsi="Arial"/>
                <w:b/>
                <w:bCs/>
                <w:i w:val="false"/>
                <w:iCs w:val="false"/>
                <w:caps w:val="false"/>
                <w:color w:val="FFFFFF"/>
                <w:sz w:val="28"/>
                <w:szCs w:val="28"/>
              </w:rPr>
              <w:t xml:space="preserve">Intelligence Estimate</w:t>
            </w:r>
          </w:p>
          <w:p>
            <w:pPr>
              <w:spacing w:before="0" w:after="120" w:line="276"/>
              <w:jc w:val="left"/>
            </w:pPr>
            <w:r>
              <w:rPr>
                <w:rFonts w:ascii="Arial" w:cs="Arial" w:eastAsia="Arial" w:hAnsi="Arial"/>
                <w:b w:val="false"/>
                <w:bCs w:val="false"/>
                <w:i/>
                <w:iCs/>
                <w:caps w:val="false"/>
                <w:color w:val="FFFFFF"/>
                <w:sz w:val="20"/>
                <w:szCs w:val="20"/>
              </w:rPr>
              <w:t xml:space="preserve">Descriptive mapping of the Russian nuclear fuel cycle and its Western interface points</w:t>
            </w:r>
          </w:p>
        </w:tc>
      </w:tr>
      <w:tr>
        <w:tc>
          <w:tcPr>
            <w:tcW w:type="dxa" w:w="3120"/>
            <w:tcBorders>
              <w:top w:val="single" w:color="1B2A4A" w:sz="4"/>
              <w:left w:val="single" w:color="1B2A4A" w:sz="4"/>
              <w:bottom w:val="single" w:color="1B2A4A" w:sz="4"/>
              <w:right w:val="single" w:color="1B2A4A" w:sz="4"/>
            </w:tcBorders>
            <w:tcMar>
              <w:top w:type="dxa" w:w="100"/>
              <w:left w:type="dxa" w:w="200"/>
              <w:bottom w:type="dxa" w:w="100"/>
              <w:right w:type="dxa" w:w="160"/>
            </w:tcMar>
          </w:tcPr>
          <w:p>
            <w:pPr>
              <w:spacing w:before="0" w:after="60" w:line="276"/>
              <w:jc w:val="left"/>
            </w:pPr>
            <w:r>
              <w:rPr>
                <w:rFonts w:ascii="Arial" w:cs="Arial" w:eastAsia="Arial" w:hAnsi="Arial"/>
                <w:b/>
                <w:bCs/>
                <w:i w:val="false"/>
                <w:iCs w:val="false"/>
                <w:caps/>
                <w:color w:val="1B2A4A"/>
                <w:sz w:val="18"/>
                <w:szCs w:val="18"/>
              </w:rPr>
              <w:t xml:space="preserve">DOCUMENTS</w:t>
            </w:r>
          </w:p>
          <w:p>
            <w:pPr>
              <w:spacing w:before="20" w:after="20" w:line="276"/>
              <w:jc w:val="left"/>
            </w:pPr>
            <w:r>
              <w:rPr>
                <w:rFonts w:ascii="Arial" w:cs="Arial" w:eastAsia="Arial" w:hAnsi="Arial"/>
                <w:b w:val="false"/>
                <w:bCs w:val="false"/>
                <w:i w:val="false"/>
                <w:iCs w:val="false"/>
                <w:caps w:val="false"/>
                <w:color w:val="000000"/>
                <w:sz w:val="18"/>
                <w:szCs w:val="18"/>
              </w:rPr>
              <w:t xml:space="preserve">• Node Profiles — Vol. 1 (N27–N33)</w:t>
            </w:r>
          </w:p>
          <w:p>
            <w:pPr>
              <w:spacing w:before="20" w:after="20" w:line="276"/>
              <w:jc w:val="left"/>
            </w:pPr>
            <w:r>
              <w:rPr>
                <w:rFonts w:ascii="Arial" w:cs="Arial" w:eastAsia="Arial" w:hAnsi="Arial"/>
                <w:b w:val="false"/>
                <w:bCs w:val="false"/>
                <w:i w:val="false"/>
                <w:iCs w:val="false"/>
                <w:caps w:val="false"/>
                <w:color w:val="000000"/>
                <w:sz w:val="18"/>
                <w:szCs w:val="18"/>
              </w:rPr>
              <w:t xml:space="preserve">• Node Profiles — Vol. 2 (N34–N44)</w:t>
            </w:r>
          </w:p>
          <w:p>
            <w:pPr>
              <w:spacing w:before="20" w:after="20" w:line="276"/>
              <w:jc w:val="left"/>
            </w:pPr>
            <w:r>
              <w:rPr>
                <w:rFonts w:ascii="Arial" w:cs="Arial" w:eastAsia="Arial" w:hAnsi="Arial"/>
                <w:b w:val="false"/>
                <w:bCs w:val="false"/>
                <w:i w:val="false"/>
                <w:iCs w:val="false"/>
                <w:caps w:val="false"/>
                <w:color w:val="000000"/>
                <w:sz w:val="18"/>
                <w:szCs w:val="18"/>
              </w:rPr>
              <w:t xml:space="preserve">• Node Profiles — Vol. 3 (N45–N47)</w:t>
            </w:r>
          </w:p>
          <w:p>
            <w:pPr>
              <w:spacing w:before="20" w:after="20" w:line="276"/>
              <w:jc w:val="left"/>
            </w:pPr>
            <w:r>
              <w:rPr>
                <w:rFonts w:ascii="Arial" w:cs="Arial" w:eastAsia="Arial" w:hAnsi="Arial"/>
                <w:b w:val="false"/>
                <w:bCs w:val="false"/>
                <w:i w:val="false"/>
                <w:iCs w:val="false"/>
                <w:caps w:val="false"/>
                <w:color w:val="000000"/>
                <w:sz w:val="18"/>
                <w:szCs w:val="18"/>
              </w:rPr>
              <w:t xml:space="preserve">• Analytical Documents: FIN-01, EVA-01, SEQ-01, CONF-01, RST-01</w:t>
            </w:r>
          </w:p>
        </w:tc>
        <w:tc>
          <w:tcPr>
            <w:tcW w:type="dxa" w:w="3120"/>
            <w:tcBorders>
              <w:top w:val="single" w:color="1B2A4A" w:sz="4"/>
              <w:left w:val="single" w:color="1B2A4A" w:sz="4"/>
              <w:bottom w:val="single" w:color="1B2A4A" w:sz="4"/>
              <w:right w:val="single" w:color="1B2A4A" w:sz="4"/>
            </w:tcBorders>
            <w:tcMar>
              <w:top w:type="dxa" w:w="100"/>
              <w:left w:type="dxa" w:w="200"/>
              <w:bottom w:type="dxa" w:w="100"/>
              <w:right w:type="dxa" w:w="160"/>
            </w:tcMar>
          </w:tcPr>
          <w:p>
            <w:pPr>
              <w:spacing w:before="0" w:after="60" w:line="276"/>
              <w:jc w:val="left"/>
            </w:pPr>
            <w:r>
              <w:rPr>
                <w:rFonts w:ascii="Arial" w:cs="Arial" w:eastAsia="Arial" w:hAnsi="Arial"/>
                <w:b/>
                <w:bCs/>
                <w:i w:val="false"/>
                <w:iCs w:val="false"/>
                <w:caps/>
                <w:color w:val="1B2A4A"/>
                <w:sz w:val="18"/>
                <w:szCs w:val="18"/>
              </w:rPr>
              <w:t xml:space="preserve">ANALYTICAL PURPOSE</w:t>
            </w:r>
          </w:p>
          <w:p>
            <w:pPr>
              <w:spacing w:before="0" w:after="120" w:line="276"/>
              <w:jc w:val="left"/>
            </w:pPr>
            <w:r>
              <w:rPr>
                <w:rFonts w:ascii="Arial" w:cs="Arial" w:eastAsia="Arial" w:hAnsi="Arial"/>
                <w:b w:val="false"/>
                <w:bCs w:val="false"/>
                <w:i w:val="false"/>
                <w:iCs w:val="false"/>
                <w:caps w:val="false"/>
                <w:color w:val="000000"/>
                <w:sz w:val="18"/>
                <w:szCs w:val="18"/>
              </w:rPr>
              <w:t xml:space="preserve">Describe what exists: the physical and institutional nodes of the Russian nuclear fuel cycle, their functions, their legal status, their ownership chains, and their known Western commercial and financial relationships. Establish the target environment with maximum available evidentiary grounding.</w:t>
            </w:r>
          </w:p>
          <w:p>
            <w:pPr>
              <w:spacing w:before="0" w:after="60" w:line="276"/>
              <w:jc w:val="left"/>
            </w:pPr>
            <w:r>
              <w:rPr>
                <w:rFonts w:ascii="Arial" w:cs="Arial" w:eastAsia="Arial" w:hAnsi="Arial"/>
                <w:b w:val="false"/>
                <w:bCs w:val="false"/>
                <w:i w:val="false"/>
                <w:iCs w:val="false"/>
                <w:caps w:val="false"/>
                <w:color w:val="000000"/>
                <w:sz w:val="18"/>
                <w:szCs w:val="18"/>
              </w:rPr>
              <w:t xml:space="preserve"> </w:t>
            </w:r>
          </w:p>
          <w:p>
            <w:pPr>
              <w:spacing w:before="0" w:after="60" w:line="276"/>
              <w:jc w:val="left"/>
            </w:pPr>
            <w:r>
              <w:rPr>
                <w:rFonts w:ascii="Arial" w:cs="Arial" w:eastAsia="Arial" w:hAnsi="Arial"/>
                <w:b/>
                <w:bCs/>
                <w:i w:val="false"/>
                <w:iCs w:val="false"/>
                <w:caps/>
                <w:color w:val="1B2A4A"/>
                <w:sz w:val="18"/>
                <w:szCs w:val="18"/>
              </w:rPr>
              <w:t xml:space="preserve">PRIMARY AUDIENCE</w:t>
            </w:r>
          </w:p>
          <w:p>
            <w:pPr>
              <w:spacing w:before="0" w:after="120" w:line="276"/>
              <w:jc w:val="left"/>
            </w:pPr>
            <w:r>
              <w:rPr>
                <w:rFonts w:ascii="Arial" w:cs="Arial" w:eastAsia="Arial" w:hAnsi="Arial"/>
                <w:b w:val="false"/>
                <w:bCs w:val="false"/>
                <w:i w:val="false"/>
                <w:iCs w:val="false"/>
                <w:caps w:val="false"/>
                <w:color w:val="000000"/>
                <w:sz w:val="18"/>
                <w:szCs w:val="18"/>
              </w:rPr>
              <w:t xml:space="preserve">Policy researchers, academic analysts, congressional staff, think tank audiences, international nuclear policy community. Suitable for unrestricted distribution.</w:t>
            </w:r>
          </w:p>
        </w:tc>
        <w:tc>
          <w:tcPr>
            <w:tcW w:type="dxa" w:w="3120"/>
            <w:tcBorders>
              <w:top w:val="single" w:color="1B2A4A" w:sz="4"/>
              <w:left w:val="single" w:color="1B2A4A" w:sz="4"/>
              <w:bottom w:val="single" w:color="1B2A4A" w:sz="4"/>
              <w:right w:val="single" w:color="1B2A4A" w:sz="4"/>
            </w:tcBorders>
            <w:shd w:fill="E8EDF5" w:val="clear"/>
            <w:tcMar>
              <w:top w:type="dxa" w:w="100"/>
              <w:left w:type="dxa" w:w="200"/>
              <w:bottom w:type="dxa" w:w="100"/>
              <w:right w:type="dxa" w:w="160"/>
            </w:tcMar>
          </w:tcPr>
          <w:p>
            <w:pPr>
              <w:spacing w:before="0" w:after="60" w:line="276"/>
              <w:jc w:val="left"/>
            </w:pPr>
            <w:r>
              <w:rPr>
                <w:rFonts w:ascii="Arial" w:cs="Arial" w:eastAsia="Arial" w:hAnsi="Arial"/>
                <w:b/>
                <w:bCs/>
                <w:i w:val="false"/>
                <w:iCs w:val="false"/>
                <w:caps/>
                <w:color w:val="1B2A4A"/>
                <w:sz w:val="18"/>
                <w:szCs w:val="18"/>
              </w:rPr>
              <w:t xml:space="preserve">THIS LAYER IS NOT</w:t>
            </w:r>
          </w:p>
          <w:p>
            <w:pPr>
              <w:spacing w:before="0" w:after="120" w:line="276"/>
              <w:jc w:val="left"/>
            </w:pPr>
            <w:r>
              <w:rPr>
                <w:rFonts w:ascii="Arial" w:cs="Arial" w:eastAsia="Arial" w:hAnsi="Arial"/>
                <w:b w:val="false"/>
                <w:bCs w:val="false"/>
                <w:i/>
                <w:iCs/>
                <w:caps w:val="false"/>
                <w:color w:val="4A5568"/>
                <w:sz w:val="18"/>
                <w:szCs w:val="18"/>
              </w:rPr>
              <w:t xml:space="preserve">An enforcement directive. A recommendation to any government agency. A classified intelligence product. A legal analysis.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sz="8"/>
              <w:left w:val="single" w:sz="8"/>
              <w:bottom w:val="single" w:sz="8"/>
              <w:right w:val="single" w:sz="8"/>
            </w:tcBorders>
            <w:shd w:val="clear"/>
            <w:tcMar>
              <w:top w:type="dxa" w:w="120"/>
              <w:left w:type="dxa" w:w="200"/>
              <w:bottom w:type="dxa" w:w="120"/>
              <w:right w:type="dxa" w:w="200"/>
            </w:tcMar>
          </w:tcPr>
          <w:p>
            <w:pPr>
              <w:spacing w:before="0" w:after="20" w:line="276"/>
              <w:jc w:val="left"/>
            </w:pPr>
            <w:r>
              <w:rPr>
                <w:rFonts w:ascii="Arial" w:cs="Arial" w:eastAsia="Arial" w:hAnsi="Arial"/>
                <w:b/>
                <w:bCs/>
                <w:i w:val="false"/>
                <w:iCs w:val="false"/>
                <w:caps/>
                <w:color w:val="FFFFFF"/>
                <w:sz w:val="28"/>
                <w:szCs w:val="28"/>
              </w:rPr>
              <w:t xml:space="preserve">LAYER 2  </w:t>
            </w:r>
            <w:r>
              <w:rPr>
                <w:rFonts w:ascii="Arial" w:cs="Arial" w:eastAsia="Arial" w:hAnsi="Arial"/>
                <w:b/>
                <w:bCs/>
                <w:i w:val="false"/>
                <w:iCs w:val="false"/>
                <w:caps w:val="false"/>
                <w:color w:val="FFFFFF"/>
                <w:sz w:val="28"/>
                <w:szCs w:val="28"/>
              </w:rPr>
              <w:t xml:space="preserve">Enforcement Playbook</w:t>
            </w:r>
          </w:p>
          <w:p>
            <w:pPr>
              <w:spacing w:before="0" w:after="120" w:line="276"/>
              <w:jc w:val="left"/>
            </w:pPr>
            <w:r>
              <w:rPr>
                <w:rFonts w:ascii="Arial" w:cs="Arial" w:eastAsia="Arial" w:hAnsi="Arial"/>
                <w:b w:val="false"/>
                <w:bCs w:val="false"/>
                <w:i/>
                <w:iCs/>
                <w:caps w:val="false"/>
                <w:color w:val="FFFFFF"/>
                <w:sz w:val="20"/>
                <w:szCs w:val="20"/>
              </w:rPr>
              <w:t xml:space="preserve">Prioritized targeting framework and financial pathway analysis for sanctions enforcement consideration</w:t>
            </w:r>
          </w:p>
        </w:tc>
      </w:tr>
      <w:tr>
        <w:tc>
          <w:tcPr>
            <w:tcW w:type="dxa" w:w="3120"/>
            <w:tcBorders>
              <w:top w:val="single" w:sz="4"/>
              <w:left w:val="single" w:sz="4"/>
              <w:bottom w:val="single" w:sz="4"/>
              <w:right w:val="single" w:sz="4"/>
            </w:tcBorders>
            <w:tcMar>
              <w:top w:type="dxa" w:w="100"/>
              <w:left w:type="dxa" w:w="200"/>
              <w:bottom w:type="dxa" w:w="100"/>
              <w:right w:type="dxa" w:w="160"/>
            </w:tcMar>
          </w:tcPr>
          <w:p>
            <w:pPr>
              <w:spacing w:before="0" w:after="60" w:line="276"/>
              <w:jc w:val="left"/>
            </w:pPr>
            <w:r>
              <w:rPr>
                <w:rFonts w:ascii="Arial" w:cs="Arial" w:eastAsia="Arial" w:hAnsi="Arial"/>
                <w:b/>
                <w:bCs/>
                <w:i w:val="false"/>
                <w:iCs w:val="false"/>
                <w:caps/>
                <w:color w:val="000000"/>
                <w:sz w:val="18"/>
                <w:szCs w:val="18"/>
              </w:rPr>
              <w:t xml:space="preserve">DOCUMENTS</w:t>
            </w:r>
          </w:p>
          <w:p>
            <w:pPr>
              <w:spacing w:before="20" w:after="20" w:line="276"/>
              <w:jc w:val="left"/>
            </w:pPr>
            <w:r>
              <w:rPr>
                <w:rFonts w:ascii="Arial" w:cs="Arial" w:eastAsia="Arial" w:hAnsi="Arial"/>
                <w:b w:val="false"/>
                <w:bCs w:val="false"/>
                <w:i w:val="false"/>
                <w:iCs w:val="false"/>
                <w:caps w:val="false"/>
                <w:color w:val="000000"/>
                <w:sz w:val="18"/>
                <w:szCs w:val="18"/>
              </w:rPr>
              <w:t xml:space="preserve">• SENI Scoring Model — WP-2026-SENI-SCORE-01-v2</w:t>
            </w:r>
          </w:p>
          <w:p>
            <w:pPr>
              <w:spacing w:before="20" w:after="20" w:line="276"/>
              <w:jc w:val="left"/>
            </w:pPr>
            <w:r>
              <w:rPr>
                <w:rFonts w:ascii="Arial" w:cs="Arial" w:eastAsia="Arial" w:hAnsi="Arial"/>
                <w:b w:val="false"/>
                <w:bCs w:val="false"/>
                <w:i w:val="false"/>
                <w:iCs w:val="false"/>
                <w:caps w:val="false"/>
                <w:color w:val="000000"/>
                <w:sz w:val="18"/>
                <w:szCs w:val="18"/>
              </w:rPr>
              <w:t xml:space="preserve">• Financial Pathway Analysis — WP-2026-SENI-FPA-01-v3</w:t>
            </w:r>
          </w:p>
        </w:tc>
        <w:tc>
          <w:tcPr>
            <w:tcW w:type="dxa" w:w="3120"/>
            <w:tcBorders>
              <w:top w:val="single" w:sz="4"/>
              <w:left w:val="single" w:sz="4"/>
              <w:bottom w:val="single" w:sz="4"/>
              <w:right w:val="single" w:sz="4"/>
            </w:tcBorders>
            <w:tcMar>
              <w:top w:type="dxa" w:w="100"/>
              <w:left w:type="dxa" w:w="200"/>
              <w:bottom w:type="dxa" w:w="100"/>
              <w:right w:type="dxa" w:w="160"/>
            </w:tcMar>
          </w:tcPr>
          <w:p>
            <w:pPr>
              <w:spacing w:before="0" w:after="60" w:line="276"/>
              <w:jc w:val="left"/>
            </w:pPr>
            <w:r>
              <w:rPr>
                <w:rFonts w:ascii="Arial" w:cs="Arial" w:eastAsia="Arial" w:hAnsi="Arial"/>
                <w:b/>
                <w:bCs/>
                <w:i w:val="false"/>
                <w:iCs w:val="false"/>
                <w:caps/>
                <w:color w:val="000000"/>
                <w:sz w:val="18"/>
                <w:szCs w:val="18"/>
              </w:rPr>
              <w:t xml:space="preserve">ANALYTICAL PURPOSE</w:t>
            </w:r>
          </w:p>
          <w:p>
            <w:pPr>
              <w:spacing w:before="0" w:after="120" w:line="276"/>
              <w:jc w:val="left"/>
            </w:pPr>
            <w:r>
              <w:rPr>
                <w:rFonts w:ascii="Arial" w:cs="Arial" w:eastAsia="Arial" w:hAnsi="Arial"/>
                <w:b w:val="false"/>
                <w:bCs w:val="false"/>
                <w:i w:val="false"/>
                <w:iCs w:val="false"/>
                <w:caps w:val="false"/>
                <w:color w:val="000000"/>
                <w:sz w:val="18"/>
                <w:szCs w:val="18"/>
              </w:rPr>
              <w:t xml:space="preserve">Identify which nodes present viable enforcement action options, in what sequence, under what legal authorities, and with what evidentiary basis. Distinguish between nodes that are analytically ready for enforcement consideration and those requiring additional evidence development. Trace financial pathways to the correspondent banking layer.</w:t>
            </w:r>
          </w:p>
          <w:p>
            <w:pPr>
              <w:spacing w:before="0" w:after="60" w:line="276"/>
              <w:jc w:val="left"/>
            </w:pPr>
            <w:r>
              <w:rPr>
                <w:rFonts w:ascii="Arial" w:cs="Arial" w:eastAsia="Arial" w:hAnsi="Arial"/>
                <w:b w:val="false"/>
                <w:bCs w:val="false"/>
                <w:i w:val="false"/>
                <w:iCs w:val="false"/>
                <w:caps w:val="false"/>
                <w:color w:val="000000"/>
                <w:sz w:val="18"/>
                <w:szCs w:val="18"/>
              </w:rPr>
              <w:t xml:space="preserve"> </w:t>
            </w:r>
          </w:p>
          <w:p>
            <w:pPr>
              <w:spacing w:before="0" w:after="60" w:line="276"/>
              <w:jc w:val="left"/>
            </w:pPr>
            <w:r>
              <w:rPr>
                <w:rFonts w:ascii="Arial" w:cs="Arial" w:eastAsia="Arial" w:hAnsi="Arial"/>
                <w:b/>
                <w:bCs/>
                <w:i w:val="false"/>
                <w:iCs w:val="false"/>
                <w:caps/>
                <w:color w:val="000000"/>
                <w:sz w:val="18"/>
                <w:szCs w:val="18"/>
              </w:rPr>
              <w:t xml:space="preserve">PRIMARY AUDIENCE</w:t>
            </w:r>
          </w:p>
          <w:p>
            <w:pPr>
              <w:spacing w:before="0" w:after="120" w:line="276"/>
              <w:jc w:val="left"/>
            </w:pPr>
            <w:r>
              <w:rPr>
                <w:rFonts w:ascii="Arial" w:cs="Arial" w:eastAsia="Arial" w:hAnsi="Arial"/>
                <w:b w:val="false"/>
                <w:bCs w:val="false"/>
                <w:i w:val="false"/>
                <w:iCs w:val="false"/>
                <w:caps w:val="false"/>
                <w:color w:val="000000"/>
                <w:sz w:val="18"/>
                <w:szCs w:val="18"/>
              </w:rPr>
              <w:t xml:space="preserve">Treasury/OFAC analysts, State Department sanctions coordinators, export control officials (BIS), policy directors familiar with designation package standards. Internal circulation appropriate; not intended for unrestricted public distribution of enforcement-specific analysis.</w:t>
            </w:r>
          </w:p>
        </w:tc>
        <w:tc>
          <w:tcPr>
            <w:tcW w:type="dxa" w:w="3120"/>
            <w:tcBorders>
              <w:top w:val="single" w:sz="4"/>
              <w:left w:val="single" w:sz="4"/>
              <w:bottom w:val="single" w:sz="4"/>
              <w:right w:val="single" w:sz="4"/>
            </w:tcBorders>
            <w:shd w:fill="E8EDF5" w:val="clear"/>
            <w:tcMar>
              <w:top w:type="dxa" w:w="100"/>
              <w:left w:type="dxa" w:w="200"/>
              <w:bottom w:type="dxa" w:w="100"/>
              <w:right w:type="dxa" w:w="160"/>
            </w:tcMar>
          </w:tcPr>
          <w:p>
            <w:pPr>
              <w:spacing w:before="0" w:after="60" w:line="276"/>
              <w:jc w:val="left"/>
            </w:pPr>
            <w:r>
              <w:rPr>
                <w:rFonts w:ascii="Arial" w:cs="Arial" w:eastAsia="Arial" w:hAnsi="Arial"/>
                <w:b/>
                <w:bCs/>
                <w:i w:val="false"/>
                <w:iCs w:val="false"/>
                <w:caps/>
                <w:color w:val="000000"/>
                <w:sz w:val="18"/>
                <w:szCs w:val="18"/>
              </w:rPr>
              <w:t xml:space="preserve">THIS LAYER IS NOT</w:t>
            </w:r>
          </w:p>
          <w:p>
            <w:pPr>
              <w:spacing w:before="0" w:after="120" w:line="276"/>
              <w:jc w:val="left"/>
            </w:pPr>
            <w:r>
              <w:rPr>
                <w:rFonts w:ascii="Arial" w:cs="Arial" w:eastAsia="Arial" w:hAnsi="Arial"/>
                <w:b w:val="false"/>
                <w:bCs w:val="false"/>
                <w:i/>
                <w:iCs/>
                <w:caps w:val="false"/>
                <w:color w:val="4A5568"/>
                <w:sz w:val="18"/>
                <w:szCs w:val="18"/>
              </w:rPr>
              <w:t xml:space="preserve">An OFAC designation decision. A binding enforcement recommendation. A substitute for classified financial intelligence. A legal memorandum.</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2D5986" w:sz="8"/>
              <w:left w:val="single" w:color="2D5986" w:sz="8"/>
              <w:bottom w:val="single" w:color="2D5986" w:sz="8"/>
              <w:right w:val="single" w:color="2D5986" w:sz="8"/>
            </w:tcBorders>
            <w:shd w:fill="2D5986" w:val="clear"/>
            <w:tcMar>
              <w:top w:type="dxa" w:w="120"/>
              <w:left w:type="dxa" w:w="200"/>
              <w:bottom w:type="dxa" w:w="120"/>
              <w:right w:type="dxa" w:w="200"/>
            </w:tcMar>
          </w:tcPr>
          <w:p>
            <w:pPr>
              <w:spacing w:before="0" w:after="20" w:line="276"/>
              <w:jc w:val="left"/>
            </w:pPr>
            <w:r>
              <w:rPr>
                <w:rFonts w:ascii="Arial" w:cs="Arial" w:eastAsia="Arial" w:hAnsi="Arial"/>
                <w:b/>
                <w:bCs/>
                <w:i w:val="false"/>
                <w:iCs w:val="false"/>
                <w:caps/>
                <w:color w:val="FFFFFF"/>
                <w:sz w:val="28"/>
                <w:szCs w:val="28"/>
              </w:rPr>
              <w:t xml:space="preserve">LAYER 3  </w:t>
            </w:r>
            <w:r>
              <w:rPr>
                <w:rFonts w:ascii="Arial" w:cs="Arial" w:eastAsia="Arial" w:hAnsi="Arial"/>
                <w:b/>
                <w:bCs/>
                <w:i w:val="false"/>
                <w:iCs w:val="false"/>
                <w:caps w:val="false"/>
                <w:color w:val="FFFFFF"/>
                <w:sz w:val="28"/>
                <w:szCs w:val="28"/>
              </w:rPr>
              <w:t xml:space="preserve">Strategic Model</w:t>
            </w:r>
          </w:p>
          <w:p>
            <w:pPr>
              <w:spacing w:before="0" w:after="120" w:line="276"/>
              <w:jc w:val="left"/>
            </w:pPr>
            <w:r>
              <w:rPr>
                <w:rFonts w:ascii="Arial" w:cs="Arial" w:eastAsia="Arial" w:hAnsi="Arial"/>
                <w:b w:val="false"/>
                <w:bCs w:val="false"/>
                <w:i/>
                <w:iCs/>
                <w:caps w:val="false"/>
                <w:color w:val="FFFFFF"/>
                <w:sz w:val="20"/>
                <w:szCs w:val="20"/>
              </w:rPr>
              <w:t xml:space="preserve">Second-order effects, system resilience, escalation dynamics, and enforcement theory</w:t>
            </w:r>
          </w:p>
        </w:tc>
      </w:tr>
      <w:tr>
        <w:tc>
          <w:tcPr>
            <w:tcW w:type="dxa" w:w="3120"/>
            <w:tcBorders>
              <w:top w:val="single" w:color="2D5986" w:sz="4"/>
              <w:left w:val="single" w:color="2D5986" w:sz="4"/>
              <w:bottom w:val="single" w:color="2D5986" w:sz="4"/>
              <w:right w:val="single" w:color="2D5986" w:sz="4"/>
            </w:tcBorders>
            <w:tcMar>
              <w:top w:type="dxa" w:w="100"/>
              <w:left w:type="dxa" w:w="200"/>
              <w:bottom w:type="dxa" w:w="100"/>
              <w:right w:type="dxa" w:w="160"/>
            </w:tcMar>
          </w:tcPr>
          <w:p>
            <w:pPr>
              <w:spacing w:before="0" w:after="60" w:line="276"/>
              <w:jc w:val="left"/>
            </w:pPr>
            <w:r>
              <w:rPr>
                <w:rFonts w:ascii="Arial" w:cs="Arial" w:eastAsia="Arial" w:hAnsi="Arial"/>
                <w:b/>
                <w:bCs/>
                <w:i w:val="false"/>
                <w:iCs w:val="false"/>
                <w:caps/>
                <w:color w:val="2D5986"/>
                <w:sz w:val="18"/>
                <w:szCs w:val="18"/>
              </w:rPr>
              <w:t xml:space="preserve">DOCUMENTS</w:t>
            </w:r>
          </w:p>
          <w:p>
            <w:pPr>
              <w:spacing w:before="20" w:after="20" w:line="276"/>
              <w:jc w:val="left"/>
            </w:pPr>
            <w:r>
              <w:rPr>
                <w:rFonts w:ascii="Arial" w:cs="Arial" w:eastAsia="Arial" w:hAnsi="Arial"/>
                <w:b w:val="false"/>
                <w:bCs w:val="false"/>
                <w:i w:val="false"/>
                <w:iCs w:val="false"/>
                <w:caps w:val="false"/>
                <w:color w:val="000000"/>
                <w:sz w:val="18"/>
                <w:szCs w:val="18"/>
              </w:rPr>
              <w:t xml:space="preserve">• Analytical Documents: SEQ-01 (enforcement sequencing)</w:t>
            </w:r>
          </w:p>
          <w:p>
            <w:pPr>
              <w:spacing w:before="20" w:after="20" w:line="276"/>
              <w:jc w:val="left"/>
            </w:pPr>
            <w:r>
              <w:rPr>
                <w:rFonts w:ascii="Arial" w:cs="Arial" w:eastAsia="Arial" w:hAnsi="Arial"/>
                <w:b w:val="false"/>
                <w:bCs w:val="false"/>
                <w:i w:val="false"/>
                <w:iCs w:val="false"/>
                <w:caps w:val="false"/>
                <w:color w:val="000000"/>
                <w:sz w:val="18"/>
                <w:szCs w:val="18"/>
              </w:rPr>
              <w:t xml:space="preserve">• System Resilience Annex (SYS-01) — COMPLETE</w:t>
            </w:r>
          </w:p>
          <w:p>
            <w:pPr>
              <w:spacing w:before="20" w:after="20" w:line="276"/>
              <w:jc w:val="left"/>
            </w:pPr>
            <w:r>
              <w:rPr>
                <w:rFonts w:ascii="Arial" w:cs="Arial" w:eastAsia="Arial" w:hAnsi="Arial"/>
                <w:b w:val="false"/>
                <w:bCs w:val="false"/>
                <w:i w:val="false"/>
                <w:iCs w:val="false"/>
                <w:caps w:val="false"/>
                <w:color w:val="000000"/>
                <w:sz w:val="18"/>
                <w:szCs w:val="18"/>
              </w:rPr>
              <w:t xml:space="preserve">• China Financial Escalation Ladder (CHN-01) — COMPLETE</w:t>
            </w:r>
          </w:p>
          <w:p>
            <w:pPr>
              <w:spacing w:before="20" w:after="20" w:line="276"/>
              <w:jc w:val="left"/>
            </w:pPr>
            <w:r>
              <w:rPr>
                <w:rFonts w:ascii="Arial" w:cs="Arial" w:eastAsia="Arial" w:hAnsi="Arial"/>
                <w:b w:val="false"/>
                <w:bCs w:val="false"/>
                <w:i w:val="false"/>
                <w:iCs w:val="false"/>
                <w:caps w:val="false"/>
                <w:color w:val="000000"/>
                <w:sz w:val="18"/>
                <w:szCs w:val="18"/>
              </w:rPr>
              <w:t xml:space="preserve">• Sanctions Authority Annex (AUTH-01) — COMPLETE</w:t>
            </w:r>
          </w:p>
        </w:tc>
        <w:tc>
          <w:tcPr>
            <w:tcW w:type="dxa" w:w="3120"/>
            <w:tcBorders>
              <w:top w:val="single" w:color="2D5986" w:sz="4"/>
              <w:left w:val="single" w:color="2D5986" w:sz="4"/>
              <w:bottom w:val="single" w:color="2D5986" w:sz="4"/>
              <w:right w:val="single" w:color="2D5986" w:sz="4"/>
            </w:tcBorders>
            <w:tcMar>
              <w:top w:type="dxa" w:w="100"/>
              <w:left w:type="dxa" w:w="200"/>
              <w:bottom w:type="dxa" w:w="100"/>
              <w:right w:type="dxa" w:w="160"/>
            </w:tcMar>
          </w:tcPr>
          <w:p>
            <w:pPr>
              <w:spacing w:before="0" w:after="60" w:line="276"/>
              <w:jc w:val="left"/>
            </w:pPr>
            <w:r>
              <w:rPr>
                <w:rFonts w:ascii="Arial" w:cs="Arial" w:eastAsia="Arial" w:hAnsi="Arial"/>
                <w:b/>
                <w:bCs/>
                <w:i w:val="false"/>
                <w:iCs w:val="false"/>
                <w:caps/>
                <w:color w:val="2D5986"/>
                <w:sz w:val="18"/>
                <w:szCs w:val="18"/>
              </w:rPr>
              <w:t xml:space="preserve">ANALYTICAL PURPOSE</w:t>
            </w:r>
          </w:p>
          <w:p>
            <w:pPr>
              <w:spacing w:before="0" w:after="120" w:line="276"/>
              <w:jc w:val="left"/>
            </w:pPr>
            <w:r>
              <w:rPr>
                <w:rFonts w:ascii="Arial" w:cs="Arial" w:eastAsia="Arial" w:hAnsi="Arial"/>
                <w:b w:val="false"/>
                <w:bCs w:val="false"/>
                <w:i w:val="false"/>
                <w:iCs w:val="false"/>
                <w:caps w:val="false"/>
                <w:color w:val="000000"/>
                <w:sz w:val="18"/>
                <w:szCs w:val="18"/>
              </w:rPr>
              <w:t xml:space="preserve">Model the strategic consequences of enforcement action: supply chain disruption timelines, Western dependency exposure, Russian fuel cycle redundancy, China escalation dynamics, and allied legal divergence. Prevent enforcement decisions that are technically executable but strategically counterproductive.</w:t>
            </w:r>
          </w:p>
          <w:p>
            <w:pPr>
              <w:spacing w:before="0" w:after="60" w:line="276"/>
              <w:jc w:val="left"/>
            </w:pPr>
            <w:r>
              <w:rPr>
                <w:rFonts w:ascii="Arial" w:cs="Arial" w:eastAsia="Arial" w:hAnsi="Arial"/>
                <w:b w:val="false"/>
                <w:bCs w:val="false"/>
                <w:i w:val="false"/>
                <w:iCs w:val="false"/>
                <w:caps w:val="false"/>
                <w:color w:val="000000"/>
                <w:sz w:val="18"/>
                <w:szCs w:val="18"/>
              </w:rPr>
              <w:t xml:space="preserve"> </w:t>
            </w:r>
          </w:p>
          <w:p>
            <w:pPr>
              <w:spacing w:before="0" w:after="60" w:line="276"/>
              <w:jc w:val="left"/>
            </w:pPr>
            <w:r>
              <w:rPr>
                <w:rFonts w:ascii="Arial" w:cs="Arial" w:eastAsia="Arial" w:hAnsi="Arial"/>
                <w:b/>
                <w:bCs/>
                <w:i w:val="false"/>
                <w:iCs w:val="false"/>
                <w:caps/>
                <w:color w:val="2D5986"/>
                <w:sz w:val="18"/>
                <w:szCs w:val="18"/>
              </w:rPr>
              <w:t xml:space="preserve">PRIMARY AUDIENCE</w:t>
            </w:r>
          </w:p>
          <w:p>
            <w:pPr>
              <w:spacing w:before="0" w:after="120" w:line="276"/>
              <w:jc w:val="left"/>
            </w:pPr>
            <w:r>
              <w:rPr>
                <w:rFonts w:ascii="Arial" w:cs="Arial" w:eastAsia="Arial" w:hAnsi="Arial"/>
                <w:b w:val="false"/>
                <w:bCs w:val="false"/>
                <w:i w:val="false"/>
                <w:iCs w:val="false"/>
                <w:caps w:val="false"/>
                <w:color w:val="000000"/>
                <w:sz w:val="18"/>
                <w:szCs w:val="18"/>
              </w:rPr>
              <w:t xml:space="preserve">Senior policy officials, NSC staff, interagency working groups with DOE/NNSA participation. Appropriate for informed decision-maker audiences who require system-level consequence modeling.</w:t>
            </w:r>
          </w:p>
        </w:tc>
        <w:tc>
          <w:tcPr>
            <w:tcW w:type="dxa" w:w="3120"/>
            <w:tcBorders>
              <w:top w:val="single" w:color="2D5986" w:sz="4"/>
              <w:left w:val="single" w:color="2D5986" w:sz="4"/>
              <w:bottom w:val="single" w:color="2D5986" w:sz="4"/>
              <w:right w:val="single" w:color="2D5986" w:sz="4"/>
            </w:tcBorders>
            <w:shd w:fill="E8EDF5" w:val="clear"/>
            <w:tcMar>
              <w:top w:type="dxa" w:w="100"/>
              <w:left w:type="dxa" w:w="200"/>
              <w:bottom w:type="dxa" w:w="100"/>
              <w:right w:type="dxa" w:w="160"/>
            </w:tcMar>
          </w:tcPr>
          <w:p>
            <w:pPr>
              <w:spacing w:before="0" w:after="60" w:line="276"/>
              <w:jc w:val="left"/>
            </w:pPr>
            <w:r>
              <w:rPr>
                <w:rFonts w:ascii="Arial" w:cs="Arial" w:eastAsia="Arial" w:hAnsi="Arial"/>
                <w:b/>
                <w:bCs/>
                <w:i w:val="false"/>
                <w:iCs w:val="false"/>
                <w:caps/>
                <w:color w:val="2D5986"/>
                <w:sz w:val="18"/>
                <w:szCs w:val="18"/>
              </w:rPr>
              <w:t xml:space="preserve">THIS LAYER IS NOT</w:t>
            </w:r>
          </w:p>
          <w:p>
            <w:pPr>
              <w:spacing w:before="0" w:after="120" w:line="276"/>
              <w:jc w:val="left"/>
            </w:pPr>
            <w:r>
              <w:rPr>
                <w:rFonts w:ascii="Arial" w:cs="Arial" w:eastAsia="Arial" w:hAnsi="Arial"/>
                <w:b w:val="false"/>
                <w:bCs w:val="false"/>
                <w:i/>
                <w:iCs/>
                <w:caps w:val="false"/>
                <w:color w:val="4A5568"/>
                <w:sz w:val="18"/>
                <w:szCs w:val="18"/>
              </w:rPr>
              <w:t xml:space="preserve">A targeting decision tool. An intelligence estimate. A substitute for interagency consequence analysis. A policy directive.</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Complete Document Index —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000"/>
        <w:gridCol w:w="1000"/>
        <w:gridCol w:w="3560"/>
      </w:tblGrid>
      <w:tr>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WP NUMBER</w:t>
            </w:r>
          </w:p>
        </w:tc>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DOCUMENT TITLE</w:t>
            </w:r>
          </w:p>
        </w:tc>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LAYER</w:t>
            </w:r>
          </w:p>
        </w:tc>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STATUS</w:t>
            </w:r>
          </w:p>
        </w:tc>
        <w:tc>
          <w:tcPr>
            <w:tcW w:type="dxa" w:w="3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NOTES</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SENI-ARCH-01</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Series Architecture Cover Document</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ARCH</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This document</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SENI-01 through SENI-21</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Node Profiles Vol. 1 (N27–N33)</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7 nodes; SGv3 validated</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SENI-22 through SENI-24 (new)</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Node Profiles Vol. 2 (N34–N44)</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11 nodes; SGv3 validated</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SENI-25 through SENI-27 (new)</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Node Profiles Vol. 3 (N45–N47)</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Vanino, Manzhouli, Bochvar</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SENI-FIN-01</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Financial Network Architecture Assessment</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China escalation annex pending</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SENI-EVA-01</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Sanctions Evasion Patterns</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SENI-SEQ-01</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Enforcement Sequencing (CCRP)</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L1/L3</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SENI-CONF-01</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Confidence Framework</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SENI-RST-01</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Recipient State Characterization</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SENI-SCORE-01-v2</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Node Scoring Model v2</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L2</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Hard-stops; sensitivity analysis; all 47 nodes</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SENI-FPA-01-v3</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 Pathway Analysis v3</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L2</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D2=[5-OSINT] achieved; Wells Fargo named</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SENI-SYS-01</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System Resilience Annex</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L3</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30/90/180-day cascade modeling for UECC, ChMP, Isotope JSC; reactor dependency quantified; UECC precondition analysis; Western capacity constraint mapping.</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SENI-CHN-01</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China Financial Escalation Ladder</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L3</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Seven-tier model from diplomatic engagement to G-SIB designation; Tier 7 off-the-table designation; displacement exchange mechanism documented.</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SENI-AUTH-01</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Sanctions Authority Annex</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L2/L3</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COMPLETE</w:t>
            </w:r>
          </w:p>
        </w:tc>
        <w:tc>
          <w:tcPr>
            <w:tcW w:type="dxa" w:w="3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13382/14024/CAATSA threshold analysis; Isotope JSC designation package; EU Blocking Statute (Reg 2271/96) conflict; D1 score validation.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Evidentiary Standards by Layer</w:t>
      </w:r>
    </w:p>
    <w:p>
      <w:pPr>
        <w:spacing w:before="40" w:after="120" w:line="276"/>
        <w:jc w:val="left"/>
      </w:pPr>
      <w:r>
        <w:rPr>
          <w:rFonts w:ascii="Arial" w:cs="Arial" w:eastAsia="Arial" w:hAnsi="Arial"/>
          <w:b w:val="false"/>
          <w:bCs w:val="false"/>
          <w:i w:val="false"/>
          <w:iCs w:val="false"/>
          <w:caps w:val="false"/>
          <w:color w:val="000000"/>
          <w:sz w:val="22"/>
          <w:szCs w:val="22"/>
        </w:rPr>
        <w:t xml:space="preserve">Each layer operates under different evidentiary standards commensurate with its analytical purpose. Applying enforcement-playbook evidentiary standards to the intelligence estimate layer, or vice versa, produces systematic error.</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STANDARD</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LAYER 1 (INTEL EST)</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LAYER 2 (ENF. PLAYBOOK)</w:t>
            </w:r>
          </w:p>
        </w:tc>
        <w:tc>
          <w:tcPr>
            <w:tcW w:type="dxa" w:w="3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LAYER 3 (STRAT. MODEL)</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Source floor</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Tier 3 acceptable with explicit labeling</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Tier 1–2 required for designation-relevant claims</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Tier 1–2 for direct claims; analytical inference acceptable for consequence modeling</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Confidence floor</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LOW-MODERATE acceptable with caveat</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MODERATE-HIGH required for Tier 1 node classification</w:t>
            </w:r>
          </w:p>
        </w:tc>
        <w:tc>
          <w:tcPr>
            <w:tcW w:type="dxa" w:w="3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 acceptable for cascade modeling</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Inference tolerance</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Structural inference acceptable; labeled as ANALYTICALLY INFERRED</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Named-entity standard; inference labeled and scored separately via D2 evidence tiering</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Analytical inference accepted for scenario modeling; clearly labeled as scenario assumptions</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Financial claims</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Category-level exposure acceptable</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Named counterparty minimum (D2=[4]); named bank target (D2=[5-OSINT])</w:t>
            </w:r>
          </w:p>
        </w:tc>
        <w:tc>
          <w:tcPr>
            <w:tcW w:type="dxa" w:w="3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Structural financial system analysis; named institutions not required</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Current-state claims</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Historical and current claims both acceptable with temporal scoping</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Historical nexus sufficient for designation predicate; current-state uncertainty disclosed</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Systemic analysis; temporal precision less critical than directional accuracy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Inter-Layer Analytical Relationships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three layers are designed to feed each other in a specific direction. Understanding this flow prevents the most common error mode: using a downstream layer's outputs to validate its own upstream inputs.</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80"/>
        <w:gridCol w:w="2400"/>
      </w:tblGrid>
      <w:tr>
        <w:tc>
          <w:tcPr>
            <w:tcW w:type="dxa" w:w="2000"/>
            <w:tcBorders>
              <w:top w:val="single" w:color="1B2A4A" w:sz="6"/>
              <w:left w:val="single" w:color="1B2A4A" w:sz="6"/>
              <w:bottom w:val="single" w:color="1B2A4A" w:sz="6"/>
              <w:right w:val="single" w:color="1B2A4A" w:sz="6"/>
            </w:tcBorders>
            <w:shd w:fill="1B2A4A" w:val="clear"/>
            <w:tcMar>
              <w:top w:type="dxa" w:w="70"/>
              <w:left w:type="dxa" w:w="100"/>
              <w:bottom w:type="dxa" w:w="70"/>
              <w:right w:type="dxa" w:w="80"/>
            </w:tcMar>
          </w:tcPr>
          <w:p>
            <w:pPr>
              <w:spacing w:before="0" w:after="120" w:line="276"/>
              <w:jc w:val="center"/>
            </w:pPr>
            <w:r>
              <w:rPr>
                <w:rFonts w:ascii="Arial" w:cs="Arial" w:eastAsia="Arial" w:hAnsi="Arial"/>
                <w:b/>
                <w:bCs/>
                <w:i w:val="false"/>
                <w:iCs w:val="false"/>
                <w:caps/>
                <w:color w:val="FFFFFF"/>
                <w:sz w:val="18"/>
                <w:szCs w:val="18"/>
              </w:rPr>
              <w:t xml:space="preserve">LAYER</w:t>
            </w:r>
          </w:p>
        </w:tc>
        <w:tc>
          <w:tcPr>
            <w:tcW w:type="dxa" w:w="2480"/>
            <w:tcBorders>
              <w:top w:val="single" w:color="1B2A4A" w:sz="6"/>
              <w:left w:val="single" w:color="1B2A4A" w:sz="6"/>
              <w:bottom w:val="single" w:color="1B2A4A" w:sz="6"/>
              <w:right w:val="single" w:color="1B2A4A" w:sz="6"/>
            </w:tcBorders>
            <w:shd w:fill="1B2A4A" w:val="clear"/>
            <w:tcMar>
              <w:top w:type="dxa" w:w="70"/>
              <w:left w:type="dxa" w:w="100"/>
              <w:bottom w:type="dxa" w:w="70"/>
              <w:right w:type="dxa" w:w="80"/>
            </w:tcMar>
          </w:tcPr>
          <w:p>
            <w:pPr>
              <w:spacing w:before="0" w:after="120" w:line="276"/>
              <w:jc w:val="left"/>
            </w:pPr>
            <w:r>
              <w:rPr>
                <w:rFonts w:ascii="Arial" w:cs="Arial" w:eastAsia="Arial" w:hAnsi="Arial"/>
                <w:b/>
                <w:bCs/>
                <w:i w:val="false"/>
                <w:iCs w:val="false"/>
                <w:caps/>
                <w:color w:val="FFFFFF"/>
                <w:sz w:val="18"/>
                <w:szCs w:val="18"/>
              </w:rPr>
              <w:t xml:space="preserve">FEEDS INTO</w:t>
            </w:r>
          </w:p>
        </w:tc>
        <w:tc>
          <w:tcPr>
            <w:tcW w:type="dxa" w:w="2480"/>
            <w:tcBorders>
              <w:top w:val="single" w:color="1B2A4A" w:sz="6"/>
              <w:left w:val="single" w:color="1B2A4A" w:sz="6"/>
              <w:bottom w:val="single" w:color="1B2A4A" w:sz="6"/>
              <w:right w:val="single" w:color="1B2A4A" w:sz="6"/>
            </w:tcBorders>
            <w:shd w:fill="1B2A4A" w:val="clear"/>
            <w:tcMar>
              <w:top w:type="dxa" w:w="70"/>
              <w:left w:type="dxa" w:w="100"/>
              <w:bottom w:type="dxa" w:w="70"/>
              <w:right w:type="dxa" w:w="80"/>
            </w:tcMar>
          </w:tcPr>
          <w:p>
            <w:pPr>
              <w:spacing w:before="0" w:after="120" w:line="276"/>
              <w:jc w:val="left"/>
            </w:pPr>
            <w:r>
              <w:rPr>
                <w:rFonts w:ascii="Arial" w:cs="Arial" w:eastAsia="Arial" w:hAnsi="Arial"/>
                <w:b/>
                <w:bCs/>
                <w:i w:val="false"/>
                <w:iCs w:val="false"/>
                <w:caps/>
                <w:color w:val="FFFFFF"/>
                <w:sz w:val="18"/>
                <w:szCs w:val="18"/>
              </w:rPr>
              <w:t xml:space="preserve">REQUIRES FROM</w:t>
            </w:r>
          </w:p>
        </w:tc>
        <w:tc>
          <w:tcPr>
            <w:tcW w:type="dxa" w:w="2400"/>
            <w:tcBorders>
              <w:top w:val="single" w:color="1B2A4A" w:sz="6"/>
              <w:left w:val="single" w:color="1B2A4A" w:sz="6"/>
              <w:bottom w:val="single" w:color="1B2A4A" w:sz="6"/>
              <w:right w:val="single" w:color="1B2A4A" w:sz="6"/>
            </w:tcBorders>
            <w:shd w:fill="1B2A4A" w:val="clear"/>
            <w:tcMar>
              <w:top w:type="dxa" w:w="70"/>
              <w:left w:type="dxa" w:w="100"/>
              <w:bottom w:type="dxa" w:w="70"/>
              <w:right w:type="dxa" w:w="80"/>
            </w:tcMar>
          </w:tcPr>
          <w:p>
            <w:pPr>
              <w:spacing w:before="0" w:after="120" w:line="276"/>
              <w:jc w:val="left"/>
            </w:pPr>
            <w:r>
              <w:rPr>
                <w:rFonts w:ascii="Arial" w:cs="Arial" w:eastAsia="Arial" w:hAnsi="Arial"/>
                <w:b/>
                <w:bCs/>
                <w:i w:val="false"/>
                <w:iCs w:val="false"/>
                <w:caps/>
                <w:color w:val="FFFFFF"/>
                <w:sz w:val="18"/>
                <w:szCs w:val="18"/>
              </w:rPr>
              <w:t xml:space="preserve">CANNOT SUBSTITUTE FOR</w:t>
            </w:r>
          </w:p>
        </w:tc>
      </w:tr>
      <w:tr>
        <w:tc>
          <w:tcPr>
            <w:tcW w:type="dxa" w:w="2000"/>
            <w:tcBorders>
              <w:top w:val="single" w:color="1B2A4A" w:sz="4"/>
              <w:left w:val="single" w:color="1B2A4A" w:sz="4"/>
              <w:bottom w:val="single" w:color="1B2A4A" w:sz="4"/>
              <w:right w:val="single" w:color="1B2A4A" w:sz="4"/>
            </w:tcBorders>
            <w:shd w:fill="E8EDF5" w:val="clear"/>
            <w:tcMar>
              <w:top w:type="dxa" w:w="70"/>
              <w:left w:type="dxa" w:w="100"/>
              <w:bottom w:type="dxa" w:w="70"/>
              <w:right w:type="dxa" w:w="80"/>
            </w:tcMar>
          </w:tcPr>
          <w:p>
            <w:pPr>
              <w:spacing w:before="0" w:after="120" w:line="276"/>
              <w:jc w:val="left"/>
            </w:pPr>
            <w:r>
              <w:rPr>
                <w:rFonts w:ascii="Arial" w:cs="Arial" w:eastAsia="Arial" w:hAnsi="Arial"/>
                <w:b/>
                <w:bCs/>
                <w:i w:val="false"/>
                <w:iCs w:val="false"/>
                <w:caps w:val="false"/>
                <w:color w:val="1B2A4A"/>
                <w:sz w:val="18"/>
                <w:szCs w:val="18"/>
              </w:rPr>
              <w:t xml:space="preserve">L1: Intel Estimate</w:t>
            </w:r>
          </w:p>
        </w:tc>
        <w:tc>
          <w:tcPr>
            <w:tcW w:type="dxa" w:w="248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20" w:line="276"/>
              <w:jc w:val="left"/>
            </w:pPr>
            <w:r>
              <w:rPr>
                <w:rFonts w:ascii="Arial" w:cs="Arial" w:eastAsia="Arial" w:hAnsi="Arial"/>
                <w:b w:val="false"/>
                <w:bCs w:val="false"/>
                <w:i w:val="false"/>
                <w:iCs w:val="false"/>
                <w:caps w:val="false"/>
                <w:color w:val="000000"/>
                <w:sz w:val="18"/>
                <w:szCs w:val="18"/>
              </w:rPr>
              <w:t xml:space="preserve">L2: target identification; L3: system parameters</w:t>
            </w:r>
          </w:p>
        </w:tc>
        <w:tc>
          <w:tcPr>
            <w:tcW w:type="dxa" w:w="248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20" w:line="276"/>
              <w:jc w:val="left"/>
            </w:pPr>
            <w:r>
              <w:rPr>
                <w:rFonts w:ascii="Arial" w:cs="Arial" w:eastAsia="Arial" w:hAnsi="Arial"/>
                <w:b w:val="false"/>
                <w:bCs w:val="false"/>
                <w:i w:val="false"/>
                <w:iCs w:val="false"/>
                <w:caps w:val="false"/>
                <w:color w:val="000000"/>
                <w:sz w:val="18"/>
                <w:szCs w:val="18"/>
              </w:rPr>
              <w:t xml:space="preserve">Primary source research (Tier 1–2 ideally); open-source database access</w:t>
            </w:r>
          </w:p>
        </w:tc>
        <w:tc>
          <w:tcPr>
            <w:tcW w:type="dxa" w:w="240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20" w:line="276"/>
              <w:jc w:val="left"/>
            </w:pPr>
            <w:r>
              <w:rPr>
                <w:rFonts w:ascii="Arial" w:cs="Arial" w:eastAsia="Arial" w:hAnsi="Arial"/>
                <w:b w:val="false"/>
                <w:bCs w:val="false"/>
                <w:i/>
                <w:iCs/>
                <w:caps w:val="false"/>
                <w:color w:val="4A5568"/>
                <w:sz w:val="18"/>
                <w:szCs w:val="18"/>
              </w:rPr>
              <w:t xml:space="preserve">Classified intelligence; interagency threat assessment; export control databases</w:t>
            </w:r>
          </w:p>
        </w:tc>
      </w:tr>
      <w:tr>
        <w:tc>
          <w:tcPr>
            <w:tcW w:type="dxa" w:w="2000"/>
            <w:tcBorders>
              <w:top w:val="single" w:color="1B2A4A" w:sz="4"/>
              <w:left w:val="single" w:color="1B2A4A" w:sz="4"/>
              <w:bottom w:val="single" w:color="1B2A4A" w:sz="4"/>
              <w:right w:val="single" w:color="1B2A4A" w:sz="4"/>
            </w:tcBorders>
            <w:shd w:fill="E8EDF5" w:val="clear"/>
            <w:tcMar>
              <w:top w:type="dxa" w:w="70"/>
              <w:left w:type="dxa" w:w="100"/>
              <w:bottom w:type="dxa" w:w="70"/>
              <w:right w:type="dxa" w:w="80"/>
            </w:tcMar>
          </w:tcPr>
          <w:p>
            <w:pPr>
              <w:spacing w:before="0" w:after="120" w:line="276"/>
              <w:jc w:val="left"/>
            </w:pPr>
            <w:r>
              <w:rPr>
                <w:rFonts w:ascii="Arial" w:cs="Arial" w:eastAsia="Arial" w:hAnsi="Arial"/>
                <w:b/>
                <w:bCs/>
                <w:i w:val="false"/>
                <w:iCs w:val="false"/>
                <w:caps w:val="false"/>
                <w:color w:val="1B2A4A"/>
                <w:sz w:val="18"/>
                <w:szCs w:val="18"/>
              </w:rPr>
              <w:t xml:space="preserve">L2: Enforcement Playbook</w:t>
            </w:r>
          </w:p>
        </w:tc>
        <w:tc>
          <w:tcPr>
            <w:tcW w:type="dxa" w:w="248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20" w:line="276"/>
              <w:jc w:val="left"/>
            </w:pPr>
            <w:r>
              <w:rPr>
                <w:rFonts w:ascii="Arial" w:cs="Arial" w:eastAsia="Arial" w:hAnsi="Arial"/>
                <w:b w:val="false"/>
                <w:bCs w:val="false"/>
                <w:i w:val="false"/>
                <w:iCs w:val="false"/>
                <w:caps w:val="false"/>
                <w:color w:val="000000"/>
                <w:sz w:val="18"/>
                <w:szCs w:val="18"/>
              </w:rPr>
              <w:t xml:space="preserve">L3: consequence inputs; OFAC/BIS package predicate</w:t>
            </w:r>
          </w:p>
        </w:tc>
        <w:tc>
          <w:tcPr>
            <w:tcW w:type="dxa" w:w="248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20" w:line="276"/>
              <w:jc w:val="left"/>
            </w:pPr>
            <w:r>
              <w:rPr>
                <w:rFonts w:ascii="Arial" w:cs="Arial" w:eastAsia="Arial" w:hAnsi="Arial"/>
                <w:b w:val="false"/>
                <w:bCs w:val="false"/>
                <w:i w:val="false"/>
                <w:iCs w:val="false"/>
                <w:caps w:val="false"/>
                <w:color w:val="000000"/>
                <w:sz w:val="18"/>
                <w:szCs w:val="18"/>
              </w:rPr>
              <w:t xml:space="preserve">L1 node profiles; financial open-source data; regulatory filings</w:t>
            </w:r>
          </w:p>
        </w:tc>
        <w:tc>
          <w:tcPr>
            <w:tcW w:type="dxa" w:w="240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20" w:line="276"/>
              <w:jc w:val="left"/>
            </w:pPr>
            <w:r>
              <w:rPr>
                <w:rFonts w:ascii="Arial" w:cs="Arial" w:eastAsia="Arial" w:hAnsi="Arial"/>
                <w:b w:val="false"/>
                <w:bCs w:val="false"/>
                <w:i/>
                <w:iCs/>
                <w:caps w:val="false"/>
                <w:color w:val="4A5568"/>
                <w:sz w:val="18"/>
                <w:szCs w:val="18"/>
              </w:rPr>
              <w:t xml:space="preserve">Classified FININT; SWIFT access; classified customs data; legal determination</w:t>
            </w:r>
          </w:p>
        </w:tc>
      </w:tr>
      <w:tr>
        <w:tc>
          <w:tcPr>
            <w:tcW w:type="dxa" w:w="2000"/>
            <w:tcBorders>
              <w:top w:val="single" w:color="1B2A4A" w:sz="4"/>
              <w:left w:val="single" w:color="1B2A4A" w:sz="4"/>
              <w:bottom w:val="single" w:color="1B2A4A" w:sz="4"/>
              <w:right w:val="single" w:color="1B2A4A" w:sz="4"/>
            </w:tcBorders>
            <w:shd w:fill="E8EDF5" w:val="clear"/>
            <w:tcMar>
              <w:top w:type="dxa" w:w="70"/>
              <w:left w:type="dxa" w:w="100"/>
              <w:bottom w:type="dxa" w:w="70"/>
              <w:right w:type="dxa" w:w="80"/>
            </w:tcMar>
          </w:tcPr>
          <w:p>
            <w:pPr>
              <w:spacing w:before="0" w:after="120" w:line="276"/>
              <w:jc w:val="left"/>
            </w:pPr>
            <w:r>
              <w:rPr>
                <w:rFonts w:ascii="Arial" w:cs="Arial" w:eastAsia="Arial" w:hAnsi="Arial"/>
                <w:b/>
                <w:bCs/>
                <w:i w:val="false"/>
                <w:iCs w:val="false"/>
                <w:caps w:val="false"/>
                <w:color w:val="1B2A4A"/>
                <w:sz w:val="18"/>
                <w:szCs w:val="18"/>
              </w:rPr>
              <w:t xml:space="preserve">L3: Strategic Model</w:t>
            </w:r>
          </w:p>
        </w:tc>
        <w:tc>
          <w:tcPr>
            <w:tcW w:type="dxa" w:w="248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20" w:line="276"/>
              <w:jc w:val="left"/>
            </w:pPr>
            <w:r>
              <w:rPr>
                <w:rFonts w:ascii="Arial" w:cs="Arial" w:eastAsia="Arial" w:hAnsi="Arial"/>
                <w:b w:val="false"/>
                <w:bCs w:val="false"/>
                <w:i w:val="false"/>
                <w:iCs w:val="false"/>
                <w:caps w:val="false"/>
                <w:color w:val="000000"/>
                <w:sz w:val="18"/>
                <w:szCs w:val="18"/>
              </w:rPr>
              <w:t xml:space="preserve">Interagency consequence analysis; senior decision support</w:t>
            </w:r>
          </w:p>
        </w:tc>
        <w:tc>
          <w:tcPr>
            <w:tcW w:type="dxa" w:w="248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20" w:line="276"/>
              <w:jc w:val="left"/>
            </w:pPr>
            <w:r>
              <w:rPr>
                <w:rFonts w:ascii="Arial" w:cs="Arial" w:eastAsia="Arial" w:hAnsi="Arial"/>
                <w:b w:val="false"/>
                <w:bCs w:val="false"/>
                <w:i w:val="false"/>
                <w:iCs w:val="false"/>
                <w:caps w:val="false"/>
                <w:color w:val="000000"/>
                <w:sz w:val="18"/>
                <w:szCs w:val="18"/>
              </w:rPr>
              <w:t xml:space="preserve">L1 system architecture; L2 enforcement options; DOE/NNSA reactor impact data</w:t>
            </w:r>
          </w:p>
        </w:tc>
        <w:tc>
          <w:tcPr>
            <w:tcW w:type="dxa" w:w="240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20" w:line="276"/>
              <w:jc w:val="left"/>
            </w:pPr>
            <w:r>
              <w:rPr>
                <w:rFonts w:ascii="Arial" w:cs="Arial" w:eastAsia="Arial" w:hAnsi="Arial"/>
                <w:b w:val="false"/>
                <w:bCs w:val="false"/>
                <w:i/>
                <w:iCs/>
                <w:caps w:val="false"/>
                <w:color w:val="4A5568"/>
                <w:sz w:val="18"/>
                <w:szCs w:val="18"/>
              </w:rPr>
              <w:t xml:space="preserve">Energy security classified assessments; NSC deliberative process; interagency red-teaming</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Known Limitations — Corpus-Wide</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limitations apply across the entire WP-2026-SENI corpus and must be understood before any policy use of this material.</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40" w:line="276"/>
        <w:jc w:val="left"/>
      </w:pPr>
      <w:r>
        <w:rPr>
          <w:rFonts w:ascii="Arial" w:cs="Arial" w:eastAsia="Arial" w:hAnsi="Arial"/>
          <w:b/>
          <w:bCs/>
          <w:i w:val="false"/>
          <w:iCs w:val="false"/>
          <w:caps w:val="false"/>
          <w:color w:val="1B2A4A"/>
          <w:sz w:val="22"/>
          <w:szCs w:val="22"/>
        </w:rPr>
        <w:t xml:space="preserve">1. OSINT ceiling</w:t>
      </w:r>
    </w:p>
    <w:p>
      <w:pPr>
        <w:spacing w:before="40" w:after="120" w:line="276"/>
        <w:jc w:val="left"/>
      </w:pPr>
      <w:r>
        <w:rPr>
          <w:rFonts w:ascii="Arial" w:cs="Arial" w:eastAsia="Arial" w:hAnsi="Arial"/>
          <w:b w:val="false"/>
          <w:bCs w:val="false"/>
          <w:i w:val="false"/>
          <w:iCs w:val="false"/>
          <w:caps w:val="false"/>
          <w:color w:val="000000"/>
          <w:sz w:val="22"/>
          <w:szCs w:val="22"/>
        </w:rPr>
        <w:t xml:space="preserve">The corpus is built exclusively from open-source materials. All financial network claims reflect the maximum achievable under open-source conditions (D2=[5-OSINT]). Transaction-level routing, correspondent account numbers, and SWIFT-level flows (D2=[5-FININT]) are not available and are not claimed. Any action that requires transaction-level financial attribution requires classified financial intelligence collection.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40" w:line="276"/>
        <w:jc w:val="left"/>
      </w:pPr>
      <w:r>
        <w:rPr>
          <w:rFonts w:ascii="Arial" w:cs="Arial" w:eastAsia="Arial" w:hAnsi="Arial"/>
          <w:b/>
          <w:bCs/>
          <w:i w:val="false"/>
          <w:iCs w:val="false"/>
          <w:caps w:val="false"/>
          <w:color w:val="1B2A4A"/>
          <w:sz w:val="22"/>
          <w:szCs w:val="22"/>
        </w:rPr>
        <w:t xml:space="preserve">2. Post-2022 financial architecture</w:t>
      </w:r>
    </w:p>
    <w:p>
      <w:pPr>
        <w:spacing w:before="40" w:after="120" w:line="276"/>
        <w:jc w:val="left"/>
      </w:pPr>
      <w:r>
        <w:rPr>
          <w:rFonts w:ascii="Arial" w:cs="Arial" w:eastAsia="Arial" w:hAnsi="Arial"/>
          <w:b w:val="false"/>
          <w:bCs w:val="false"/>
          <w:i w:val="false"/>
          <w:iCs w:val="false"/>
          <w:caps w:val="false"/>
          <w:color w:val="000000"/>
          <w:sz w:val="22"/>
          <w:szCs w:val="22"/>
        </w:rPr>
        <w:t xml:space="preserve">The Russian nuclear fuel cycle's financial architecture post-2022 has shifted materially toward CNY settlement, SPV structures, and bilateral banking. The D2 scoring model explicitly accounts for this through post-2022 calibration, but specific new financial routing mechanisms are not mapped in open-source evidence. The FIN-01 China escalation annex (planned) will address this gap.</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40" w:line="276"/>
        <w:jc w:val="left"/>
      </w:pPr>
      <w:r>
        <w:rPr>
          <w:rFonts w:ascii="Arial" w:cs="Arial" w:eastAsia="Arial" w:hAnsi="Arial"/>
          <w:b/>
          <w:bCs/>
          <w:i w:val="false"/>
          <w:iCs w:val="false"/>
          <w:caps w:val="false"/>
          <w:color w:val="1B2A4A"/>
          <w:sz w:val="22"/>
          <w:szCs w:val="22"/>
        </w:rPr>
        <w:t xml:space="preserve">3. Analytically inferred nodes</w:t>
      </w:r>
    </w:p>
    <w:p>
      <w:pPr>
        <w:spacing w:before="40" w:after="120" w:line="276"/>
        <w:jc w:val="left"/>
      </w:pPr>
      <w:r>
        <w:rPr>
          <w:rFonts w:ascii="Arial" w:cs="Arial" w:eastAsia="Arial" w:hAnsi="Arial"/>
          <w:b w:val="false"/>
          <w:bCs w:val="false"/>
          <w:i w:val="false"/>
          <w:iCs w:val="false"/>
          <w:caps w:val="false"/>
          <w:color w:val="000000"/>
          <w:sz w:val="22"/>
          <w:szCs w:val="22"/>
        </w:rPr>
        <w:t xml:space="preserve">Three nodes in the 47-node index (Vanino N45, Tayshet N37, and certain DPRK-nexus claims at N33 and N43) are based on structural inference without Tier 1–2 confirmation. These are labeled ANALYTICALLY INFERRED with LOW-MODERATE CONFIDENCE and land in Tier 3 under the scoring model. They should not be used as enforcement predicates without additional evidentiary development.</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40" w:line="276"/>
        <w:jc w:val="left"/>
      </w:pPr>
      <w:r>
        <w:rPr>
          <w:rFonts w:ascii="Arial" w:cs="Arial" w:eastAsia="Arial" w:hAnsi="Arial"/>
          <w:b/>
          <w:bCs/>
          <w:i w:val="false"/>
          <w:iCs w:val="false"/>
          <w:caps w:val="false"/>
          <w:color w:val="1B2A4A"/>
          <w:sz w:val="22"/>
          <w:szCs w:val="22"/>
        </w:rPr>
        <w:t xml:space="preserve">4. Temporal currency</w:t>
      </w:r>
    </w:p>
    <w:p>
      <w:pPr>
        <w:spacing w:before="40" w:after="120" w:line="276"/>
        <w:jc w:val="left"/>
      </w:pPr>
      <w:r>
        <w:rPr>
          <w:rFonts w:ascii="Arial" w:cs="Arial" w:eastAsia="Arial" w:hAnsi="Arial"/>
          <w:b w:val="false"/>
          <w:bCs w:val="false"/>
          <w:i w:val="false"/>
          <w:iCs w:val="false"/>
          <w:caps w:val="false"/>
          <w:color w:val="000000"/>
          <w:sz w:val="22"/>
          <w:szCs w:val="22"/>
        </w:rPr>
        <w:t xml:space="preserve">The corpus reflects the state of open-source evidence as of March 2026. Sanctions designations, general license expirations (notably GL 115A, expiring June 30, 2025), and commercial relationships evolve continuously. The node profiles and scoring model should be treated as a point-in-time analysis requiring periodic update.</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40" w:line="276"/>
        <w:jc w:val="left"/>
      </w:pPr>
      <w:r>
        <w:rPr>
          <w:rFonts w:ascii="Arial" w:cs="Arial" w:eastAsia="Arial" w:hAnsi="Arial"/>
          <w:b/>
          <w:bCs/>
          <w:i w:val="false"/>
          <w:iCs w:val="false"/>
          <w:caps w:val="false"/>
          <w:color w:val="1B2A4A"/>
          <w:sz w:val="22"/>
          <w:szCs w:val="22"/>
        </w:rPr>
        <w:t xml:space="preserve">5. Second-order system effects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System Resilience Annex (SENI-SYS-01) has been constructed using open-source inputs and models 30/90/180-day cascade scenarios for UECC, ChMP, and Isotope JSC disruption. The modeling remains bounded by OSINT assumptions and does not incorporate utility-specific contract positions or classified energy security assessments. Enforcement action against Tier 1 nodes should be informed by this analysis but should also incorporate interagency consequence assessment beyond what open-source modeling can provide.</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40" w:line="276"/>
        <w:jc w:val="left"/>
      </w:pPr>
      <w:r>
        <w:rPr>
          <w:rFonts w:ascii="Arial" w:cs="Arial" w:eastAsia="Arial" w:hAnsi="Arial"/>
          <w:b/>
          <w:bCs/>
          <w:i w:val="false"/>
          <w:iCs w:val="false"/>
          <w:caps w:val="false"/>
          <w:color w:val="1B2A4A"/>
          <w:sz w:val="22"/>
          <w:szCs w:val="22"/>
        </w:rPr>
        <w:t xml:space="preserve">6. Legal determination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Nothing in this corpus constitutes a legal determination. Statements about EO 13382 applicability, CAATSA coverage, BIS ECCN authority, and secondary sanctions feasibility are independent analytical assessments of available instruments. Actual enforcement decisions require Treasury General Counsel review, State Department sanctions coordination, and — for secondary sanctions — allied legal consultation on EU blocking statute and UK OFSI divergence.</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Current Readiness Assessment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AUDIENCE</w:t>
            </w:r>
          </w:p>
        </w:tc>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ASSESSMENT</w:t>
            </w:r>
          </w:p>
        </w:tc>
        <w:tc>
          <w:tcPr>
            <w:tcW w:type="dxa" w:w="5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BASIS</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Academic / think tank</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READY — elite tier</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Node profiles, scoring model, and financial pathway analysis are at the standard of top-tier policy research. SENI-SYS-01 and SENI-AUTH-01 would strengthen but are not prerequisites for academic submission.</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Policy journal submission</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READY with revision</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Georgetown Security Studies Review or similar: core analytical framework and FPA are publication-ready. System resilience analysis would strengthen policy relevance. Confidence language corpus review recommended before submission.</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Treasury / OFAC analytical staff</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CREDIBLE INPUT — not yet actionable</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corpus can inform targeting discussions and designation package development. The Isotope JSC/Nordion/Lantheus/Wells Fargo chain provides a viable OFAC nexus argument. Transaction-level financial intelligence collection required before formal designation action.</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State Department sanctions coordination</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CREDIBLE INPUT</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Enforcement sequencing (CCRP), allied coordination requirements (D4 dimension), and IAEA safeguards gap analysis are directly relevant. Sanctions authority annex (SENI-AUTH-01) required for full utility.</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DOE / NNSA</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PARTIAL — classified energy data required</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System resilience analysis (SYS-01) is present and models 30/90/180-day cascades. Further quantitative modeling incorporating utility-specific contract data and classified energy security assessments is required before DOE/NNSA review would be fully satisfied.</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Intelligence community review</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ANALYTICALLY CREDIBLE — expected gap</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IC assessment: accurate in structure, correct in inference, limited only by absence of transaction-level financial intelligence and classified fuel cycle operational data. No pretense of classified access. OSINT ceiling correctly documented.</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VIII. Guidance on Use — What This Corpus Is and Is Not</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This corpus is independent policy research, not a government product. It represents the author's independent analytical judgment applied to open-source evidence. It does not constitute an official sanctions designation recommendation, a legal memorandum, a classified intelligence assessment, or a policy directive from any government agency. Users who employ this corpus in official policy processes bear responsibility for independently verifying claims, conducting legal review, and consulting appropriate government expertise.</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Appropriate Uses</w:t>
      </w:r>
    </w:p>
    <w:p>
      <w:pPr>
        <w:spacing w:before="40" w:after="40" w:line="276"/>
        <w:ind w:left="240"/>
        <w:jc w:val="left"/>
      </w:pPr>
      <w:r>
        <w:rPr>
          <w:rFonts w:ascii="Arial" w:cs="Arial" w:eastAsia="Arial" w:hAnsi="Arial"/>
          <w:b w:val="false"/>
          <w:bCs w:val="false"/>
          <w:i w:val="false"/>
          <w:iCs w:val="false"/>
          <w:caps w:val="false"/>
          <w:color w:val="000000"/>
          <w:sz w:val="20"/>
          <w:szCs w:val="20"/>
        </w:rPr>
        <w:t xml:space="preserve">1.  Academic research and publication: The node profiles, scoring model, and financial pathway analysis are appropriate for academic citation and submission to peer-reviewed policy journals, subject to standard disclosure that this is independent research.</w:t>
      </w:r>
    </w:p>
    <w:p>
      <w:pPr>
        <w:spacing w:before="40" w:after="40" w:line="276"/>
        <w:ind w:left="240"/>
        <w:jc w:val="left"/>
      </w:pPr>
      <w:r>
        <w:rPr>
          <w:rFonts w:ascii="Arial" w:cs="Arial" w:eastAsia="Arial" w:hAnsi="Arial"/>
          <w:b w:val="false"/>
          <w:bCs w:val="false"/>
          <w:i w:val="false"/>
          <w:iCs w:val="false"/>
          <w:caps w:val="false"/>
          <w:color w:val="000000"/>
          <w:sz w:val="20"/>
          <w:szCs w:val="20"/>
        </w:rPr>
        <w:t xml:space="preserve">2.  Policy briefing background: The Intelligence Estimate layer (node profiles, analytical documents) can appropriately inform briefing materials for congressional staff, think tank audiences, and international policy engagement.</w:t>
      </w:r>
    </w:p>
    <w:p>
      <w:pPr>
        <w:spacing w:before="40" w:after="40" w:line="276"/>
        <w:ind w:left="240"/>
        <w:jc w:val="left"/>
      </w:pPr>
      <w:r>
        <w:rPr>
          <w:rFonts w:ascii="Arial" w:cs="Arial" w:eastAsia="Arial" w:hAnsi="Arial"/>
          <w:b w:val="false"/>
          <w:bCs w:val="false"/>
          <w:i w:val="false"/>
          <w:iCs w:val="false"/>
          <w:caps w:val="false"/>
          <w:color w:val="000000"/>
          <w:sz w:val="20"/>
          <w:szCs w:val="20"/>
        </w:rPr>
        <w:t xml:space="preserve">3.  Enforcement framework reference: The Enforcement Playbook layer (scoring model, FPA) can inform discussions of enforcement options and evidentiary gaps in appropriate policy forums, with the limitations documented in Section VI disclosed.</w:t>
      </w:r>
    </w:p>
    <w:p>
      <w:pPr>
        <w:spacing w:before="40" w:after="40" w:line="276"/>
        <w:ind w:left="240"/>
        <w:jc w:val="left"/>
      </w:pPr>
      <w:r>
        <w:rPr>
          <w:rFonts w:ascii="Arial" w:cs="Arial" w:eastAsia="Arial" w:hAnsi="Arial"/>
          <w:b w:val="false"/>
          <w:bCs w:val="false"/>
          <w:i w:val="false"/>
          <w:iCs w:val="false"/>
          <w:caps w:val="false"/>
          <w:color w:val="000000"/>
          <w:sz w:val="20"/>
          <w:szCs w:val="20"/>
        </w:rPr>
        <w:t xml:space="preserve">4.  Teaching and training: The analytical methodology — confidence framework, D2 evidence tiering, hard-stop conditions, product layer separation — is appropriate as a teaching example for sanctions policy courses and professional training programs.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Uses That Require Additional Steps</w:t>
      </w:r>
    </w:p>
    <w:p>
      <w:pPr>
        <w:spacing w:before="40" w:after="40" w:line="276"/>
        <w:ind w:left="240"/>
        <w:jc w:val="left"/>
      </w:pPr>
      <w:r>
        <w:rPr>
          <w:rFonts w:ascii="Arial" w:cs="Arial" w:eastAsia="Arial" w:hAnsi="Arial"/>
          <w:b w:val="false"/>
          <w:bCs w:val="false"/>
          <w:i w:val="false"/>
          <w:iCs w:val="false"/>
          <w:caps w:val="false"/>
          <w:color w:val="000000"/>
          <w:sz w:val="20"/>
          <w:szCs w:val="20"/>
        </w:rPr>
        <w:t xml:space="preserve">1.  OFAC designation package development: The financial pathway analysis provides a viable nexus argument but is not a complete OFAC designation package. Treasury General Counsel review, transaction-level financial intelligence, and interagency coordination are required before any designation action.</w:t>
      </w:r>
    </w:p>
    <w:p>
      <w:pPr>
        <w:spacing w:before="40" w:after="40" w:line="276"/>
        <w:ind w:left="240"/>
        <w:jc w:val="left"/>
      </w:pPr>
      <w:r>
        <w:rPr>
          <w:rFonts w:ascii="Arial" w:cs="Arial" w:eastAsia="Arial" w:hAnsi="Arial"/>
          <w:b w:val="false"/>
          <w:bCs w:val="false"/>
          <w:i w:val="false"/>
          <w:iCs w:val="false"/>
          <w:caps w:val="false"/>
          <w:color w:val="000000"/>
          <w:sz w:val="20"/>
          <w:szCs w:val="20"/>
        </w:rPr>
        <w:t xml:space="preserve">2.  Export control enforcement: The BIS ECCN applicability analysis (ECCN 1C236, 1C233) identifies available instruments but does not substitute for BIS legal determination. Specific license application review and end-use verification are required.</w:t>
      </w:r>
    </w:p>
    <w:p>
      <w:pPr>
        <w:spacing w:before="40" w:after="40" w:line="276"/>
        <w:ind w:left="240"/>
        <w:jc w:val="left"/>
      </w:pPr>
      <w:r>
        <w:rPr>
          <w:rFonts w:ascii="Arial" w:cs="Arial" w:eastAsia="Arial" w:hAnsi="Arial"/>
          <w:b w:val="false"/>
          <w:bCs w:val="false"/>
          <w:i w:val="false"/>
          <w:iCs w:val="false"/>
          <w:caps w:val="false"/>
          <w:color w:val="000000"/>
          <w:sz w:val="20"/>
          <w:szCs w:val="20"/>
        </w:rPr>
        <w:t xml:space="preserve">3.  Allied coordination: The corpus identifies nodes where allied coordination is required (D4 dimension) but does not substitute for actual diplomatic engagement with allied counterparts. State Department bilateral and multilateral channels are the operative mechanism.</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WP-2026-SENI-ARCH-01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2026-03-19T11:53:14.474Z</dcterms:created>
  <dcterms:modified xsi:type="dcterms:W3CDTF">2026-03-19T11:53:14.475Z</dcterms:modified>
</cp:coreProperties>
</file>

<file path=docProps/custom.xml><?xml version="1.0" encoding="utf-8"?>
<Properties xmlns="http://schemas.openxmlformats.org/officeDocument/2006/custom-properties" xmlns:vt="http://schemas.openxmlformats.org/officeDocument/2006/docPropsVTypes"/>
</file>