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WP-2026-SENI-FIN-01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TVEL FINANCIAL NETWORK ARCHITECTURE ASSESSMENT</w:t>
      </w:r>
    </w:p>
    <w:p>
      <w:pPr>
        <w:spacing w:before="0" w:after="160" w:line="276"/>
        <w:jc w:val="left"/>
      </w:pPr>
      <w:r>
        <w:rPr>
          <w:rFonts w:ascii="Arial" w:cs="Arial" w:eastAsia="Arial" w:hAnsi="Arial"/>
          <w:b/>
          <w:bCs/>
          <w:i w:val="false"/>
          <w:iCs w:val="false"/>
          <w:caps w:val="false"/>
          <w:color w:val="4A5568"/>
          <w:sz w:val="24"/>
          <w:szCs w:val="24"/>
        </w:rPr>
        <w:t xml:space="preserve">Rosatom Commercial Fuel Cycle — Banking Structure, SPV Evasion Patterns, CNY Settlement, Isotope JSC Financial Exposure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TVEL JSC's April 2024 OFAC SDN designation has been materially diluted by three factors: legacy contract carve-outs for allied reactor operators; migration to CNY-denominated settlement for Chinese customers; and SPV structures that route transactions around U.S. correspondent banking requirements.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Isotope JSC — a Rosatom subsidiary distributing proliferation-relevant isotopes including Cf-252 — is not OFAC-designated as of March 2026 and maintains active Western commercial relationships. Isotope JSC designation is the highest-priority low-collateral, high-accessibility financial enforcement action against the Russian fuel cycle. It is not the highest system-disruption action (that is UECC, which carries catastrophic collateral), but it is the action with the best ratio of enforcement feasibility to nonproliferation impact.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Post-2022 migration of TVEL-CNNC contracts to CNY settlement through Chinese state banks (ICBC, Bank of China) has reduced U.S. financial enforcement leverage over the Russian-Chinese nuclear fuel relationship to near zero under current instruments.</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4</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TVEL's evasion architecture in Geneva, Dubai, and Istanbul — SPV structures exploiting OFAC's 50% ownership rule — is assessed as the primary mechanism allowing sophisticated actors to continue transacting with TVEL without triggering blocking obligations. Specific SPV entities are not identified in open-source evidence. Network resolution requires Swiss Handelsregister and UAE commercial registry data beyond current OSINT scope. This assessment describes an evasion architecture, not a mapped network.</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 — ARCHITECTURALLY INFERRED</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TVEL Corporate Structure and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JSC was designated by OFAC under EO 13382 on April 19, 2024 [TIER 1 — OFAC SDN List]. Rosatom's 2023 Annual Report identifies TVEL JSC as the commercial parent of the Russian enrichment and fabrication network. The Congressional Research Service's 2023 analysis (CRS R47742) estimated TVEL's pre-sanctions annual enrichment revenue at $2–3 billion [TIER 1 — CRS R47742, 2023].</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TVEL's April 2024 SDN designation is the most significant enforcement action against the Russian fuel cycle to date, but that its practical effect has been substantially diluted by the three evasion factors identified above.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total value of TVEL transactions still clearing through Western financial infrastructure, the specific correspondent banks currently active, or the precise contract terms of OFAC General License wind-down provisions for fuel cycle transactions.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Revenue Streams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REVENUE TYPE</w:t>
            </w:r>
          </w:p>
        </w:tc>
        <w:tc>
          <w:tcPr>
            <w:tcW w:type="dxa" w:w="3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ESTIMATED VOLUME</w:t>
            </w:r>
          </w:p>
        </w:tc>
        <w:tc>
          <w:tcPr>
            <w:tcW w:type="dxa" w:w="3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CLEARING MECHANISM</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SWU (enrichment services)</w:t>
            </w:r>
          </w:p>
        </w:tc>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~$2–3B annually pre-2022 [CRS R47742]</w:t>
            </w:r>
          </w:p>
        </w:tc>
        <w:tc>
          <w:tcPr>
            <w:tcW w:type="dxa" w:w="3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USD/EUR correspondent banking — migrating to CNY/bilateral post-2022</w:t>
            </w:r>
          </w:p>
        </w:tc>
      </w:tr>
      <w:tr>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Fuel assembly exports</w:t>
            </w:r>
          </w:p>
        </w:tc>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~$1–2B annually</w:t>
            </w:r>
          </w:p>
        </w:tc>
        <w:tc>
          <w:tcPr>
            <w:tcW w:type="dxa" w:w="3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USD/EUR legacy contracts; CNY for China post-2022</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Conversion services</w:t>
            </w:r>
          </w:p>
        </w:tc>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~$300–500M</w:t>
            </w:r>
          </w:p>
        </w:tc>
        <w:tc>
          <w:tcPr>
            <w:tcW w:type="dxa" w:w="3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Bundled in fuel supply contracts</w:t>
            </w:r>
          </w:p>
        </w:tc>
      </w:tr>
      <w:tr>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Isotope sales (Isotope JSC)</w:t>
            </w:r>
          </w:p>
        </w:tc>
        <w:tc>
          <w:tcPr>
            <w:tcW w:type="dxa" w:w="3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~$200–400M</w:t>
            </w:r>
          </w:p>
        </w:tc>
        <w:tc>
          <w:tcPr>
            <w:tcW w:type="dxa" w:w="3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USD/EUR — partially via Western pharma customers — NOT DESIGNATED</w:t>
            </w:r>
          </w:p>
        </w:tc>
      </w:tr>
      <w:tr>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Uranium trading (TENEX)</w:t>
            </w:r>
          </w:p>
        </w:tc>
        <w:tc>
          <w:tcPr>
            <w:tcW w:type="dxa" w:w="3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Variable</w:t>
            </w:r>
          </w:p>
        </w:tc>
        <w:tc>
          <w:tcPr>
            <w:tcW w:type="dxa" w:w="3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Multi-currency; partially via Geneva trading entity</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Correspondent Banking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 General License 8 and its renewals granted wind-down periods for energy sector transactions with designated Russian entities. State Department reporting and Congressional Research Service analysis document that nuclear fuel-specific carve-outs allowed EU and Asian reactor operators to continue receiving fuel under pre-existing contracts [TIER 1 — OFAC GL8; CRS R47742].</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legacy contract carve-out wind-down periods may still sustain residual Western banking activity for TVEL SWU revenue. The public record does not permit a firm conclusion on whether all applicable wind-down periods have expired as of March 2026.</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which specific correspondent banks are currently clearing residual TVEL SWU revenue, which EU and Asian operators are still active under carve-out arrangements, or the total remaining Western financial exposure to TVEL transactions.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Post-2022 migration to EUR, CNY, and bilateral currency arrangements has substantially reduced USD-denominated TVEL clearing through U.S. correspondent banks. The residual enforcement leverage is in EUR-denominated transactions through European banks and in the SPV network maintaining commercial relationships with Western counterparties.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SPV Evasion Architecture — Hypothesis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OFAC's 50% ownership rule provides that entities owned 50% or more by an SDN-listed entity are constructively blocked even without explicit listing [TIER 1 — OFAC Guidance on Entities Owned by Blocked Persons]. This rule creates an incentive to structure entities below the 50% threshold. This section assesses the architecture of likely evasion structures — it does not map a confirmed network, as specific SPV entities are not identified in open-source evidence.</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moderate-confidence judgment that TVEL's SPV network in Geneva (uranium trading/TENEX), Dubai (post-2022 energy transactions), and Istanbul (emerging clearing jurisdiction) allows transactions to route around TVEL's SDN designation. Systematically identifying and designating this network would close the most significant gap in TVEL SDN enforcement.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SPV entities in these jurisdictions, their ownership structures relative to the 50% rule, or the transaction volumes routing through each jurisdiction. Allied financial intelligence from Swiss FINMA, UAE Central Bank, and BDDK Turkey warrants attention to map this network.</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OSINT ceiling note: This section describes an inferred evasion architecture based on known OFAC rule structures and documented Russian financial adaptation patterns. No specific SPV entity names, ownership chains, or transaction flows are documented in open-source evidence. The assessment is labeled ARCHITECTURALLY INFERRED. Swiss FINMA filings, UAE commercial registrations, and Turkish BDDK data would be required to resolve this hypothesis into a mapped network.</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Isotope JSC Financial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is identified in Rosatom commercial documentation as the subsidiary handling isotope distribution from NIIAR, ECP, and NCCP [TIER 2 — Rosatom commercial documentation; TIER 3 — Nuclear Engineering International]. BIS ECCN 1C233 controls lithium-6 and ECCN 1C236 controls Cf-252 as nuclear-related materials.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reporting supports a high-confidence judgment that Isotope JSC's Western pharmaceutical and industrial customer relationships represent an active, undesignated Western financial flow from Russian nuclear facility operations. This is the most significant single gap in current TVEL-related enforcement coverage.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Western pharmaceutical companies purchasing medical isotopes from Isotope JSC, the contract values, the clearing banks, or the end-use verification procedures for weapons-relevant isotopes including Cf-252 and lithium-6.</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CNY Settlement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Congressional Research Service analysis documents that post-2022 Russia-China energy transactions have substantially migrated to CNY settlement through Chinese state banks [TIER 1 — CRS R47742, 2023; TIER 1 — Treasury Department Russia sanctions reporting].</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moderate-high-confidence judgment that TVEL-CNNC contract settlement has migrated to CNY clearing through ICBC, Bank of China, and CITIC, placing these transactions outside U.S. financial monitoring infrastructure. Restoring leverage requires either secondary sanctions against Chinese clearing banks, a multilateral NSG instrument, or supply substitution.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CNY clearing architecture for TVEL-CNNC transactions, the total CNY-denominated SWU revenue volume post-2022, or whether any residual USD touchpoints exist in the TVEL-CNNC transaction chain.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Pursuit of Isotope JSC SDN designation immediately — the highest-priority low-collateral, high-accessibility financial enforcement action in the index. Isotope JSC carries no reactor safety collateral (D3=5), unilateral enforcement capability (D4=5), and a documented Western financial nexus through the Nordion-Lantheus-Wells Fargo chain (FPA-01-v3). It is not the highest-leverage node (UECC) but it is the most immediately executable with the best enforcement-to-impact ratio.</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Financial intelligence mapping of and designate TVEL's SPV network in Geneva, Dubai, and Istanbul through allied financial intelligence coordination with Swiss FINMA, UAE Central Bank, and BDDK.</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Audit of legacy contract carve-out expiry for EU and Asian reactor operators — confirm whether TVEL clearing through Western banks has ceased or continues under extended wind-down arrangements.</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Designation of TENEX JSC (uranium trading) to close the uranium trading financial channel separate from TVEL's direct fuel sales.</w:t>
      </w:r>
    </w:p>
    <w:p>
      <w:pPr>
        <w:spacing w:before="60" w:after="80" w:line="276"/>
        <w:ind w:left="360"/>
        <w:jc w:val="left"/>
      </w:pPr>
      <w:r>
        <w:rPr>
          <w:rFonts w:ascii="Arial" w:cs="Arial" w:eastAsia="Arial" w:hAnsi="Arial"/>
          <w:b/>
          <w:bCs/>
          <w:i w:val="false"/>
          <w:iCs w:val="false"/>
          <w:caps w:val="false"/>
          <w:color w:val="1B2A4A"/>
          <w:sz w:val="22"/>
          <w:szCs w:val="22"/>
        </w:rPr>
        <w:t xml:space="preserve">5.  </w:t>
      </w:r>
      <w:r>
        <w:rPr>
          <w:rFonts w:ascii="Arial" w:cs="Arial" w:eastAsia="Arial" w:hAnsi="Arial"/>
          <w:b w:val="false"/>
          <w:bCs w:val="false"/>
          <w:i w:val="false"/>
          <w:iCs w:val="false"/>
          <w:caps w:val="false"/>
          <w:color w:val="000000"/>
          <w:sz w:val="22"/>
          <w:szCs w:val="22"/>
        </w:rPr>
        <w:t xml:space="preserve">Development of a secondary sanctions framework assessment for Chinese banks clearing TVEL-CNNC CNY transactions — establish legal predicate and cost-benefit analysis before execution.</w:t>
      </w:r>
    </w:p>
    <w:p>
      <w:pPr>
        <w:spacing w:before="60" w:after="80" w:line="276"/>
        <w:ind w:left="360"/>
        <w:jc w:val="left"/>
      </w:pPr>
      <w:r>
        <w:rPr>
          <w:rFonts w:ascii="Arial" w:cs="Arial" w:eastAsia="Arial" w:hAnsi="Arial"/>
          <w:b/>
          <w:bCs/>
          <w:i w:val="false"/>
          <w:iCs w:val="false"/>
          <w:caps w:val="false"/>
          <w:color w:val="1B2A4A"/>
          <w:sz w:val="22"/>
          <w:szCs w:val="22"/>
        </w:rPr>
        <w:t xml:space="preserve">6.  </w:t>
      </w:r>
      <w:r>
        <w:rPr>
          <w:rFonts w:ascii="Arial" w:cs="Arial" w:eastAsia="Arial" w:hAnsi="Arial"/>
          <w:b w:val="false"/>
          <w:bCs w:val="false"/>
          <w:i w:val="false"/>
          <w:iCs w:val="false"/>
          <w:caps w:val="false"/>
          <w:color w:val="000000"/>
          <w:sz w:val="22"/>
          <w:szCs w:val="22"/>
        </w:rPr>
        <w:t xml:space="preserve">Pursuit of coordinated NSG-level instruments to create non-financial restrictions on TVEL contracts with member state reactor operators.</w:t>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WP-2026-SENI-FIN-01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WP-2026-SENI-EVA-01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SANCTIONS EVASION INFRASTRUCTURE</w:t>
      </w:r>
    </w:p>
    <w:p>
      <w:pPr>
        <w:spacing w:before="0" w:after="160" w:line="276"/>
        <w:jc w:val="left"/>
      </w:pPr>
      <w:r>
        <w:rPr>
          <w:rFonts w:ascii="Arial" w:cs="Arial" w:eastAsia="Arial" w:hAnsi="Arial"/>
          <w:b/>
          <w:bCs/>
          <w:i w:val="false"/>
          <w:iCs w:val="false"/>
          <w:caps w:val="false"/>
          <w:color w:val="4A5568"/>
          <w:sz w:val="24"/>
          <w:szCs w:val="24"/>
        </w:rPr>
        <w:t xml:space="preserve">Russian Nuclear Fuel Cycle — Procurement Networks, Maritime Evasion, Financial Intermediaries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UAE free trade zone front companies — primarily in Jebel Ali and Dubai Multi Commodities Centre — are assessed as a leading conduit for Western dual-use technology procurement for Russian nuclear facilities post-2022. 'Leading conduit' reflects the volume and frequency of UAE-origin shipment interdictions and Entity List additions documented in BIS enforcement releases; it does not rest on a comparative share estimate for which open-source volume data is insufficient. BIS Entity List additions have not kept pace with new front company incorporation.</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Rosatom's Akkuyu NPP construction contract in Turkey creates a documented conflict of interest: Turkish authorities have commercial and diplomatic incentive to maintain trade relationships with Rosatom entities including those involved in dual-use procurement.</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Post-2022 Russia-DPRK maritime corridor expansion uses the Vostochny/Nakhodka complex as the primary departure point. AIS manipulation and flag-hopping are documented evasion techniques in this corridor [TIER 1 — UN Panel of Experts S/2024/215].</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Dual-Use Procurement Networks</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UAE Procurement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enforcement actions and Treasury OFAC enforcement releases document UAE-based front companies as re-export conduits for Western technology to Russia post-2022 [TIER 1 — BIS Entity List additions 2022–2024; OFAC enforcement releases]. UAE free trade zones (Jebel Ali, Dubai Multi Commodities Centre) are specifically identified in enforcement actions.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UAE free trade zones remain the leading third-country hub for Russian nuclear facility dual-use procurement. The pace of BIS Entity List additions is insufficient to disrupt the network given the rate of new front company incorporation.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entities currently procuring nuclear facility dual-use equipment through UAE channels, the specific equipment categories, or the total procurement volume. BIS enforcement actions represent a subset of actual activity.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Turkey — Akkuyu Conflict of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Rosatom's Akkuyu NPP construction in Turkey is documented in IAEA country reports and Turkish Nuclear Regulatory Authority filings as an active government-to-government construction project [TIER 1 — IAEA CNPP Turkey 2024; TIER 2 — Turkish TAEK reports].</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Rosatom's Akkuyu construction creates a structural conflict of interest for Turkish export control enforcement against Rosatom-affiliated entities. Turkish intermediaries purchasing Western technology for Russian nuclear facilities face limited domestic enforcement pressure for this reason.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Turkish entities currently serving as procurement intermediaries for Russian nuclear facilities, or the categories of equipment being transited through Turkey.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C. China and Central Asia</w:t>
      </w:r>
    </w:p>
    <w:p>
      <w:pPr>
        <w:spacing w:before="40" w:after="120" w:line="276"/>
        <w:jc w:val="left"/>
      </w:pPr>
      <w:r>
        <w:rPr>
          <w:rFonts w:ascii="Arial" w:cs="Arial" w:eastAsia="Arial" w:hAnsi="Arial"/>
          <w:b w:val="false"/>
          <w:bCs w:val="false"/>
          <w:i w:val="false"/>
          <w:iCs w:val="false"/>
          <w:caps w:val="false"/>
          <w:color w:val="000000"/>
          <w:sz w:val="22"/>
          <w:szCs w:val="22"/>
        </w:rPr>
        <w:t xml:space="preserve">Chinese entities provide both direct procurement and technology substitution — Chinese-manufactured equivalents for Western components subject to export controls. Technology substitution is increasingly significant: China has domestic manufacturing capability for many precision components required for centrifuge maintenance. Chinese customs data is not publicly available and Chinese intermediaries are not consistently identifiable in Western compliance databases. Kazakhstan warrants specific attention: as both a uranium producer with Rosatom involvement (Kazatomprom/Uranium One) and a transit state, it creates a Western-accessible financial interface in the Russian-adjacent supply chain that is currently underutilized for enforcement purposes.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Maritime Evasion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UN Panel of Experts reports to the UNSC 1718 Committee document AIS manipulation, flag-hopping, and STS transfer as documented evasion techniques in the Russia-DPRK maritime corridor [TIER 1 — UN Panel of Experts S/2024/215; S/2023/171]. Post-2022 Russian fleet flag-hopping to Palau, Cameroon, Gabon, Togo, and Comoros registries is specifically identified.</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UN reporting supports a high-confidence judgment that the Russia-DPRK maritime corridor operates with systematic AIS manipulation and flag-hopping as standard practice. These techniques are documented, not inferred.</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vessels currently operating the Russia-DPRK corridor out of Vostochny, or whether any nuclear-relevant material has been transported in this corridor. UN Panel reporting covers a subset of active vessels.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Financial Intermediary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Treasury Department Russia sanctions reporting and Congressional Research Service analysis document Turkish state banks (Ziraat Bank, Vakifbank), UAE domestic banks, and Chinese state banks (ICBC, Bank of China, CITIC) as major financial intermediary channels for Russian sanctions-evasion transactions post-2022 [TIER 1 — Treasury Department Russia sanctions reports 2023–2024; CRS R47742].</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moderate-high-confidence judgment that the combination of Turkish state bank correspondent relationships and CIPS-based CNY clearing through Chinese state banks constitutes the leading surviving financial infrastructure for Russian nuclear fuel cycle transactions post-TVEL SDN designation.</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transaction volumes routing through each intermediary channel, or the extent to which cryptocurrency is used for nuclear fuel cycle-related transactions versus other Russian sanctions-evasion activity.</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Policy Options and Analytical Recommendations</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Acceleration of Entity List additions for UAE free trade zone entities identified as Russian nuclear dual-use procurement fronts.</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Engagement through UAE, Turkish, and Indian authorities through bilateral export control cooperation frameworks to strengthen domestic enforcement against re-export violations.</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An OFAC action to target Turkish state bank correspondent relationships — specifically Ziraat Bank and Vakifbank USD correspondent accounts — as the leverage point for Turkish financial intermediary enforcement.</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Implementation of vessel port-of-call restrictions in allied Pacific jurisdictions for all vessels with documented AIS manipulation or flag-hopping histories in the Russia-DPRK corridor.</w:t>
      </w:r>
    </w:p>
    <w:p>
      <w:pPr>
        <w:spacing w:before="60" w:after="80" w:line="276"/>
        <w:ind w:left="360"/>
        <w:jc w:val="left"/>
      </w:pPr>
      <w:r>
        <w:rPr>
          <w:rFonts w:ascii="Arial" w:cs="Arial" w:eastAsia="Arial" w:hAnsi="Arial"/>
          <w:b/>
          <w:bCs/>
          <w:i w:val="false"/>
          <w:iCs w:val="false"/>
          <w:caps w:val="false"/>
          <w:color w:val="1B2A4A"/>
          <w:sz w:val="22"/>
          <w:szCs w:val="22"/>
        </w:rPr>
        <w:t xml:space="preserve">5.  </w:t>
      </w:r>
      <w:r>
        <w:rPr>
          <w:rFonts w:ascii="Arial" w:cs="Arial" w:eastAsia="Arial" w:hAnsi="Arial"/>
          <w:b w:val="false"/>
          <w:bCs w:val="false"/>
          <w:i w:val="false"/>
          <w:iCs w:val="false"/>
          <w:caps w:val="false"/>
          <w:color w:val="000000"/>
          <w:sz w:val="22"/>
          <w:szCs w:val="22"/>
        </w:rPr>
        <w:t xml:space="preserve">Development of a CIPS-nexus secondary sanctions framework: establish legal basis for targeting non-U.S. entities that use CIPS to clear transactions for OFAC-designated Russian nuclear entities.</w:t>
      </w:r>
    </w:p>
    <w:p>
      <w:pPr>
        <w:spacing w:before="60" w:after="80" w:line="276"/>
        <w:ind w:left="360"/>
        <w:jc w:val="left"/>
      </w:pPr>
      <w:r>
        <w:rPr>
          <w:rFonts w:ascii="Arial" w:cs="Arial" w:eastAsia="Arial" w:hAnsi="Arial"/>
          <w:b/>
          <w:bCs/>
          <w:i w:val="false"/>
          <w:iCs w:val="false"/>
          <w:caps w:val="false"/>
          <w:color w:val="1B2A4A"/>
          <w:sz w:val="22"/>
          <w:szCs w:val="22"/>
        </w:rPr>
        <w:t xml:space="preserve">6.  </w:t>
      </w:r>
      <w:r>
        <w:rPr>
          <w:rFonts w:ascii="Arial" w:cs="Arial" w:eastAsia="Arial" w:hAnsi="Arial"/>
          <w:b w:val="false"/>
          <w:bCs w:val="false"/>
          <w:i w:val="false"/>
          <w:iCs w:val="false"/>
          <w:caps w:val="false"/>
          <w:color w:val="000000"/>
          <w:sz w:val="22"/>
          <w:szCs w:val="22"/>
        </w:rPr>
        <w:t xml:space="preserve">State and A Treasury action to coordinate with Five Eyes partners on Kazatomprom-Uranium One financial flows as a Western-accessible enforcement interface in the Russian-adjacent uranium supply chain.</w:t>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WP-2026-SENI-EVA-01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WP-2026-SENI-SEQ-01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ENFORCEMENT SEQUENCING ANALYSIS</w:t>
      </w:r>
    </w:p>
    <w:p>
      <w:pPr>
        <w:spacing w:before="0" w:after="160" w:line="276"/>
        <w:jc w:val="left"/>
      </w:pPr>
      <w:r>
        <w:rPr>
          <w:rFonts w:ascii="Arial" w:cs="Arial" w:eastAsia="Arial" w:hAnsi="Arial"/>
          <w:b/>
          <w:bCs/>
          <w:i w:val="false"/>
          <w:iCs w:val="false"/>
          <w:caps w:val="false"/>
          <w:color w:val="4A5568"/>
          <w:sz w:val="24"/>
          <w:szCs w:val="24"/>
        </w:rPr>
        <w:t xml:space="preserve">SENI 44-Node Index — Priority Order, Coalition Requirements, CCRP Application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Eight nodes in the SENI index are immediately actionable by the U.S. without allied coordination and without triggering reactor safety or multilateral constraints. Isotope JSC designation and NIIAR Cf-252 ECCN controls are the highest-priority immediate actions.</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Full UECC designation — the highest-leverage single action in the index — is preconditioned on allied enrichment supply buildout reaching ≥85% of UECC displaced volume. This precondition is not met as of March 2026.</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The Coalition Conflict Resolution Protocol (CCRP) from WP-2026-SHIELD-01 identifies three primary coalition fault lines in the nuclear enforcement context: EU reactor operator friction, China friction at Krasnokamensk and Angarsk, and IAEA institutional friction. Each requires a distinct resolution pathway.</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Analytical Framework</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document applies the Coalition Conflict Resolution Protocol (CCRP) from WP-2026-SHIELD-01 to the full 44-node SENI enforcement index. The CCRP framework distinguishes between actions executable unilaterally by the U.S., actions requiring allied coordination, and actions constrained by multilateral legal architecture. Sequencing recommendations reflect three criteria: enforcement leverage (expected disruption to Russian nuclear fuel cycle operations); collateral cost (reactor safety risk, allied diplomatic friction, market disruption); and precondition dependency (actions that warrants precede others to be effective).</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Node Classification by Action Tier</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Tier 1 — Unilateral U.S. Action Available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2800"/>
      </w:tblGrid>
      <w:tr>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ACTION</w:t>
            </w:r>
          </w:p>
        </w:tc>
        <w:tc>
          <w:tcPr>
            <w:tcW w:type="dxa" w:w="2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CONSTRAINT</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33 — NCCP</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SDN + BIS Entity List</w:t>
            </w:r>
          </w:p>
        </w:tc>
        <w:tc>
          <w:tcPr>
            <w:tcW w:type="dxa" w:w="2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 / ECCN 1C233</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independent Li-6 predicate</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30 — ECP</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BIS Entity List</w:t>
            </w:r>
          </w:p>
        </w:tc>
        <w:tc>
          <w:tcPr>
            <w:tcW w:type="dxa" w:w="2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EAR ECCN 1C233</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separate action required</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43 — NIIAR</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BIS ECCN 1C236 controls</w:t>
            </w:r>
          </w:p>
        </w:tc>
        <w:tc>
          <w:tcPr>
            <w:tcW w:type="dxa" w:w="2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EAR</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Immediately actionable</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44 — Kurchatov</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 visa controls</w:t>
            </w:r>
          </w:p>
        </w:tc>
        <w:tc>
          <w:tcPr>
            <w:tcW w:type="dxa" w:w="2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EAR / Admin</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Political cost moderate</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34 — Chepetsk</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SDN listing (TVEL sub)</w:t>
            </w:r>
          </w:p>
        </w:tc>
        <w:tc>
          <w:tcPr>
            <w:tcW w:type="dxa" w:w="2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Verify OFAC coverage first</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32 — Elektrostal</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Explicit SDN listing (TVEL sub)</w:t>
            </w:r>
          </w:p>
        </w:tc>
        <w:tc>
          <w:tcPr>
            <w:tcW w:type="dxa" w:w="2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Verify OFAC coverage first</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42 — Zheleznogorsk</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SDN + RT-2 procurement targeting</w:t>
            </w:r>
          </w:p>
        </w:tc>
        <w:tc>
          <w:tcPr>
            <w:tcW w:type="dxa" w:w="2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Western leverage on Pu ops</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41 — Mayak (commercial)</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Commercial reprocessing SDN</w:t>
            </w:r>
          </w:p>
        </w:tc>
        <w:tc>
          <w:tcPr>
            <w:tcW w:type="dxa" w:w="2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Weapons Pu ops unaffected — PMDA track separate</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Tier 2 — Requires Allied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60"/>
        <w:gridCol w:w="2600"/>
      </w:tblGrid>
      <w:tr>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2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ACTION</w:t>
            </w:r>
          </w:p>
        </w:tc>
        <w:tc>
          <w:tcPr>
            <w:tcW w:type="dxa" w:w="2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PRECONDITION</w:t>
            </w:r>
          </w:p>
        </w:tc>
        <w:tc>
          <w:tcPr>
            <w:tcW w:type="dxa" w:w="2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COALITION</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28 — UECC</w:t>
            </w:r>
          </w:p>
        </w:tc>
        <w:tc>
          <w:tcPr>
            <w:tcW w:type="dxa" w:w="2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Full SDN designation</w:t>
            </w:r>
          </w:p>
        </w:tc>
        <w:tc>
          <w:tcPr>
            <w:tcW w:type="dxa" w:w="2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Urenco+Orano+Centrus ≥85% UECC displacement</w:t>
            </w:r>
          </w:p>
        </w:tc>
        <w:tc>
          <w:tcPr>
            <w:tcW w:type="dxa" w:w="2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Five Eyes + EU + Japan</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29 — SCC</w:t>
            </w:r>
          </w:p>
        </w:tc>
        <w:tc>
          <w:tcPr>
            <w:tcW w:type="dxa" w:w="2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SDN designation</w:t>
            </w:r>
          </w:p>
        </w:tc>
        <w:tc>
          <w:tcPr>
            <w:tcW w:type="dxa" w:w="2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safeguards consultation complete</w:t>
            </w:r>
          </w:p>
        </w:tc>
        <w:tc>
          <w:tcPr>
            <w:tcW w:type="dxa" w:w="2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Five Eyes + IAEA</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36 — Vostochny</w:t>
            </w:r>
          </w:p>
        </w:tc>
        <w:tc>
          <w:tcPr>
            <w:tcW w:type="dxa" w:w="2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FESCO + port-of-call restrictions</w:t>
            </w:r>
          </w:p>
        </w:tc>
        <w:tc>
          <w:tcPr>
            <w:tcW w:type="dxa" w:w="2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Allied Pacific port coordination</w:t>
            </w:r>
          </w:p>
        </w:tc>
        <w:tc>
          <w:tcPr>
            <w:tcW w:type="dxa" w:w="2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Japan, South Korea, Australia</w:t>
            </w:r>
          </w:p>
        </w:tc>
      </w:tr>
      <w:tr>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35 — Zabaykalsk</w:t>
            </w:r>
          </w:p>
        </w:tc>
        <w:tc>
          <w:tcPr>
            <w:tcW w:type="dxa" w:w="2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Logistics intermediary designation</w:t>
            </w:r>
          </w:p>
        </w:tc>
        <w:tc>
          <w:tcPr>
            <w:tcW w:type="dxa" w:w="2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Rusatom Service mapping complete</w:t>
            </w:r>
          </w:p>
        </w:tc>
        <w:tc>
          <w:tcPr>
            <w:tcW w:type="dxa" w:w="2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Five Eyes logistics intel</w:t>
            </w:r>
          </w:p>
        </w:tc>
      </w:tr>
      <w:tr>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37 — Tayshet</w:t>
            </w:r>
          </w:p>
        </w:tc>
        <w:tc>
          <w:tcPr>
            <w:tcW w:type="dxa" w:w="2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RZhD designation assessment</w:t>
            </w:r>
          </w:p>
        </w:tc>
        <w:tc>
          <w:tcPr>
            <w:tcW w:type="dxa" w:w="2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Cost-benefit analysis complete</w:t>
            </w:r>
          </w:p>
        </w:tc>
        <w:tc>
          <w:tcPr>
            <w:tcW w:type="dxa" w:w="2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 + allied economic coord</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Tier 3 — Constrained / Long-Lead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CONSTRAINT TYPE</w:t>
            </w:r>
          </w:p>
        </w:tc>
        <w:tc>
          <w:tcPr>
            <w:tcW w:type="dxa" w:w="4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RESOLUTION PATH</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27 — Krasnokamensk</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nuclear safety / Chinese reactor ops</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Define fuel stockpile threshold; Chinese utility transition planning</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31 — Angarsk (AECC)</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IUEC multilateral architecture</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Surgical OFAC carve-out OR IUEC member state transition to alt supply</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38 — Sarov</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financial exposure; arms control domain</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Entity List for procurement; arms control monitoring restoration</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39 — Trekhgorny</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financial exposure</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Export controls on precision manufacturing procurement</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40 — Lesnoy</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financial exposure</w:t>
            </w:r>
          </w:p>
        </w:tc>
        <w:tc>
          <w:tcPr>
            <w:tcW w:type="dxa" w:w="4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Export controls on uranium metallurgy equipment</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41 — Mayak (Pu ops)</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financial exposure; PMDA domain</w:t>
            </w:r>
          </w:p>
        </w:tc>
        <w:tc>
          <w:tcPr>
            <w:tcW w:type="dxa" w:w="4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PMDA restoration or successor mechanism</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CCRP Application — Coalition Conflict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WP-2026-SHIELD-01 establishes the Coalition Conflict Resolution Protocol (CCRP) as the governing framework for managing coalition friction in coordinated enforcement actions. The CCRP identifies three categories of conflict: structural (market or supply constraints), diplomatic (allied government friction), and institutional (multilateral body friction).</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Applying the CCRP to the SENI index supports a high-confidence judgment that the three primary coalition fault lines — EU reactor operator friction, China friction at Krasnokamensk and Angarsk, and IAEA institutional friction — each require distinct resolution pathways. Applying a single enforcement strategy across all nodes without accounting for these fault lines would generate coalition fracture.</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specific positions of EU member states, China, or IAEA on the specific enforcement actions recommended in this index. Coalition positions would need to be assessed through diplomatic engagement before execution of any Tier 2 action.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160" w:after="60" w:line="276"/>
        <w:jc w:val="left"/>
      </w:pPr>
      <w:r>
        <w:rPr>
          <w:rFonts w:ascii="Arial" w:cs="Arial" w:eastAsia="Arial" w:hAnsi="Arial"/>
          <w:b/>
          <w:bCs/>
          <w:i w:val="false"/>
          <w:iCs w:val="false"/>
          <w:caps w:val="false"/>
          <w:color w:val="4A5568"/>
          <w:sz w:val="22"/>
          <w:szCs w:val="22"/>
        </w:rPr>
        <w:t xml:space="preserve">Resource Constraint Assumption</w:t>
      </w:r>
    </w:p>
    <w:p>
      <w:pPr>
        <w:spacing w:before="40" w:after="120" w:line="276"/>
        <w:jc w:val="left"/>
      </w:pPr>
      <w:r>
        <w:rPr>
          <w:rFonts w:ascii="Arial" w:cs="Arial" w:eastAsia="Arial" w:hAnsi="Arial"/>
          <w:b w:val="false"/>
          <w:bCs w:val="false"/>
          <w:i w:val="false"/>
          <w:iCs w:val="false"/>
          <w:caps w:val="false"/>
          <w:color w:val="000000"/>
          <w:sz w:val="22"/>
          <w:szCs w:val="22"/>
        </w:rPr>
        <w:t xml:space="preserve">The sequencing logic presented in this document assumes that enforcement actions are not simultaneously capacity-constrained. In practice, OFAC designation package development, State Department coordination, and BIS Entity List additions each require finite analyst-hours and political capital. The following priority ordering addresses the 'if only one action is possible' constraint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RANK</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ACTION</w:t>
            </w:r>
          </w:p>
        </w:tc>
        <w:tc>
          <w:tcPr>
            <w:tcW w:type="dxa" w:w="5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RATIONALE FOR PRIORITY</w:t>
            </w:r>
          </w:p>
        </w:tc>
      </w:tr>
      <w:tr>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SDN designation</w:t>
            </w:r>
          </w:p>
        </w:tc>
        <w:tc>
          <w:tcPr>
            <w:tcW w:type="dxa" w:w="5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Highest enforcement-to-impact ratio. Package predicate established (FPA-01-v3). No allied coordination required. No reactor safety risk. Immediately executable.</w:t>
            </w:r>
          </w:p>
        </w:tc>
      </w:tr>
      <w:tr>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ECCN 1C236 enhanced end-use (Cf-252)</w:t>
            </w:r>
          </w:p>
        </w:tc>
        <w:tc>
          <w:tcPr>
            <w:tcW w:type="dxa" w:w="5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Available without OFAC coordination. Closes the most specific WMD-relevant material gap. Reinforces Isotope JSC designation predicate.</w:t>
            </w:r>
          </w:p>
        </w:tc>
      </w:tr>
      <w:tr>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 post-GL 115A secondary sanctions notification</w:t>
            </w:r>
          </w:p>
        </w:tc>
        <w:tc>
          <w:tcPr>
            <w:tcW w:type="dxa" w:w="5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Date-certain trigger (June 30, 2025). Requires coordination with EU allies. Secondary preparation ongoing.</w:t>
            </w:r>
          </w:p>
        </w:tc>
      </w:tr>
      <w:tr>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designation package preparation (not execution)</w:t>
            </w:r>
          </w:p>
        </w:tc>
        <w:tc>
          <w:tcPr>
            <w:tcW w:type="dxa" w:w="5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future leverage. Preparation now reduces lead time when precondition is met. Does not require current execution.</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EU reactor operator friction is resolved by supply precondition sequencing — execute UECC designation only after Urenco/Orano/Centrus capacity milestone is confirmed. China friction at Krasnokamensk and Angarsk is managed through surgical designation carve-outs and threshold conditions rather than blanket enforcement. IAEA institutional friction is managed by framing enforcement actions as complementary to enhanced safeguards — engaging IAEA proactively on safeguards gaps at target facilities before executing designation actions.</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Priority Execution Sequence</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IMMEDIATE (no preconditions): Isotope JSC SDN designation; NIIAR Cf-252 BIS ECCN 1C236 controls; Kurchatov BIS Entity List + visa controls; Chepetsk and Elektrostal explicit SDN listing confirmation with OFAC.</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SHORT-TERM (30–90 days): TVEL SPV network mapping and designation in Geneva, Dubai, Istanbul; Zheleznogorsk SDN paired with RT-2 procurement targeting; Mayak commercial operations SDN.</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MEDIUM-TERM (90–180 days, precondition-dependent): FESCO and Vostochny Port designation coordinated with Pacific allies; Rusatom Service logistics intermediary designation; Zabaykalsk corridor freight forwarder mapping complete.</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LONG-TERM (supply-precondition-dependent): UECC full SDN designation (Urenco/Orano/Centrus capacity milestone ≥85%); SCC SDN (IAEA consultation complete); Krasnokamensk threshold condition defined and met.</w:t>
      </w:r>
    </w:p>
    <w:p>
      <w:pPr>
        <w:spacing w:before="60" w:after="80" w:line="276"/>
        <w:ind w:left="360"/>
        <w:jc w:val="left"/>
      </w:pPr>
      <w:r>
        <w:rPr>
          <w:rFonts w:ascii="Arial" w:cs="Arial" w:eastAsia="Arial" w:hAnsi="Arial"/>
          <w:b/>
          <w:bCs/>
          <w:i w:val="false"/>
          <w:iCs w:val="false"/>
          <w:caps w:val="false"/>
          <w:color w:val="1B2A4A"/>
          <w:sz w:val="22"/>
          <w:szCs w:val="22"/>
        </w:rPr>
        <w:t xml:space="preserve">5.  </w:t>
      </w:r>
      <w:r>
        <w:rPr>
          <w:rFonts w:ascii="Arial" w:cs="Arial" w:eastAsia="Arial" w:hAnsi="Arial"/>
          <w:b w:val="false"/>
          <w:bCs w:val="false"/>
          <w:i w:val="false"/>
          <w:iCs w:val="false"/>
          <w:caps w:val="false"/>
          <w:color w:val="000000"/>
          <w:sz w:val="22"/>
          <w:szCs w:val="22"/>
        </w:rPr>
        <w:t xml:space="preserve">ARMS CONTROL TRACK (parallel, non-sanctions): PMDA restoration or successor mechanism for Mayak/Zheleznogorsk Pu accountability; IAEA enhanced safeguards at Seversk, Angarsk, Zheleznogorsk; ADE-2 Pu accountability gap resolution.</w:t>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WP-2026-SENI-SEQ-01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WP-2026-SENI-CONF-01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CONFIDENCE FRAMEWORK</w:t>
      </w:r>
    </w:p>
    <w:p>
      <w:pPr>
        <w:spacing w:before="0" w:after="160" w:line="276"/>
        <w:jc w:val="left"/>
      </w:pPr>
      <w:r>
        <w:rPr>
          <w:rFonts w:ascii="Arial" w:cs="Arial" w:eastAsia="Arial" w:hAnsi="Arial"/>
          <w:b/>
          <w:bCs/>
          <w:i w:val="false"/>
          <w:iCs w:val="false"/>
          <w:caps w:val="false"/>
          <w:color w:val="4A5568"/>
          <w:sz w:val="24"/>
          <w:szCs w:val="24"/>
        </w:rPr>
        <w:t xml:space="preserve">SENI Index — Evidentiary Basis, Source Quality, and Analytical Uncertainty</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Four assertions in the current SENI index carry LOW CONFIDENCE — ANALYTICALLY INFERRED status and require either corroboration from Tier 1 or credible Tier 2 sources, or explicit downgrading before submission to SSRN or Georgetown SSP.</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Complete absence of academic literature engagement across SENI node profiles is the single most critical gap for Georgetown SSP submission, consistent with the March 2026 WP-2026 portfolio review finding.</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Confidence Tier Definitions</w:t>
      </w:r>
    </w:p>
    <w:p>
      <w:pPr>
        <w:spacing w:before="40" w:after="120" w:line="276"/>
        <w:jc w:val="left"/>
      </w:pPr>
      <w:r>
        <w:rPr>
          <w:rFonts w:ascii="Arial" w:cs="Arial" w:eastAsia="Arial" w:hAnsi="Arial"/>
          <w:b w:val="false"/>
          <w:bCs w:val="false"/>
          <w:i w:val="false"/>
          <w:iCs w:val="false"/>
          <w:caps w:val="false"/>
          <w:color w:val="000000"/>
          <w:sz w:val="22"/>
          <w:szCs w:val="22"/>
        </w:rPr>
        <w:t xml:space="preserve">Probability and confidence are separate analytical dimensions, applied separately to every analytic judgment per WP-2026 Style Guide v3.0. Probability describes the likelihood that the judgment is correct. Confidence describes the quality and completeness of 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960"/>
        <w:gridCol w:w="2800"/>
      </w:tblGrid>
      <w:tr>
        <w:tc>
          <w:tcPr>
            <w:tcW w:type="dxa" w:w="1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TIER</w:t>
            </w:r>
          </w:p>
        </w:tc>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LABEL</w:t>
            </w:r>
          </w:p>
        </w:tc>
        <w:tc>
          <w:tcPr>
            <w:tcW w:type="dxa" w:w="39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DEFINITION</w:t>
            </w:r>
          </w:p>
        </w:tc>
        <w:tc>
          <w:tcPr>
            <w:tcW w:type="dxa" w:w="2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EXAMPLE SOURCES</w:t>
            </w:r>
          </w:p>
        </w:tc>
      </w:tr>
      <w:tr>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C1 / HIGH</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CONFIDENCE</w:t>
            </w:r>
          </w:p>
        </w:tc>
        <w:tc>
          <w:tcPr>
            <w:tcW w:type="dxa" w:w="3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Verified in multiple independent open-source documents; consistent with IAEA safeguards declarations or official government disclosures</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reports, OFAC SDN List, Rosatom annual reports, official government filings, peer-reviewed technical literature, NRC/DOE public disclosures, CRS reports</w:t>
            </w:r>
          </w:p>
        </w:tc>
      </w:tr>
      <w:tr>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C2 / MOD-HIGH</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MODERATE-HIGH / MODERATE</w:t>
            </w:r>
          </w:p>
        </w:tc>
        <w:tc>
          <w:tcPr>
            <w:tcW w:type="dxa" w:w="3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Reported by credible open-source analysis; consistent with known facility characteristics; limited independent corroboration</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NTI profiles, RAND, CSIS, Carnegie, Brookings, WNA reports, Foreign Affairs, TNSR, congressional testimony with named attribution</w:t>
            </w:r>
          </w:p>
        </w:tc>
      </w:tr>
      <w:tr>
        <w:tc>
          <w:tcPr>
            <w:tcW w:type="dxa" w:w="1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C3 / LOW-MOD</w:t>
            </w:r>
          </w:p>
        </w:tc>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LOW-MODERATE CONFIDENCE</w:t>
            </w:r>
          </w:p>
        </w:tc>
        <w:tc>
          <w:tcPr>
            <w:tcW w:type="dxa" w:w="39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Analytically inferred from facility type, geographic position, or known Russian nuclear complex structure; not directly reported in open sources</w:t>
            </w:r>
          </w:p>
        </w:tc>
        <w:tc>
          <w:tcPr>
            <w:tcW w:type="dxa" w:w="2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Author inference from open-source facility data, geographic analysis, comparative analysis with analogous facilities — warrants be labeled ANALYTICALLY INFERRED</w:t>
            </w:r>
          </w:p>
        </w:tc>
      </w:tr>
      <w:tr>
        <w:tc>
          <w:tcPr>
            <w:tcW w:type="dxa" w:w="1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C4 / LOW</w:t>
            </w:r>
          </w:p>
        </w:tc>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LOW CONFIDENCE</w:t>
            </w:r>
          </w:p>
        </w:tc>
        <w:tc>
          <w:tcPr>
            <w:tcW w:type="dxa" w:w="39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Reported in limited sources of variable reliability; single-source or secondary reporting; requires verification before use as enforcement predicate</w:t>
            </w:r>
          </w:p>
        </w:tc>
        <w:tc>
          <w:tcPr>
            <w:tcW w:type="dxa" w:w="2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Single-source reporting, secondary sources, unverified claims — warrants be labeled ANALYTICALLY INFERRED; cannot serve as published enforcement predicate</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Node-by-Node Confidence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CONFIDENCE</w:t>
            </w:r>
          </w:p>
        </w:tc>
        <w:tc>
          <w:tcPr>
            <w:tcW w:type="dxa" w:w="5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KEY UNCERTAINTY / LIMITS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27 — Krasnokamensk</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 / HIGH</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production role C1. TVEL fuel supply constraints C1–C2. Specific tonnage figures C2. Threshold condition for action C3.</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28 — Novouralsk (UECC)</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 / HIGH</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48% Russian capacity C1 (Rosatom). 20%+ global figure C1–C2 (IAEA/WNA). Allied supply capacity precondition C2.</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29 — Seversk (SCC)</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Civilian operations C1. Weapons history C1. Current dual-use infrastructure status C2–C3.</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30 — Zelenogorsk (ECP)</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Enrichment role C1. Isotope production details C2. Dual-use isotope concerns C3.</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31 — Angarsk (AECC)</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IUEC structure and IAEA involvement C1 (publicly documented treaty framework).</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32 — Elektrostal</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fabrication role and reactor types C1. Export customer status post-2022 C2–C3.</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33 — NCCP Novosibirsk</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Fuel fabrication C1. Li-6 production C1–C2. DPRK procurement connection C3–C4 — ANALYTICALLY INFERRED.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34 — Chepetsk (ChMP)</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Conversion and zirconium roles C1. Uranium metal production details C2.</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35 — Zabaykalsk</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Rail crossing identity and gauge-change function C1. Nuclear manifest monitoring capability C3 — ANALYTICALLY INFERRED.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36 — Vostochny Port</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Port identity C1. Russia-DPRK corridor use C1 (UN Panel reporting). Nuclear material routing C2–C3.</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37 — Tayshet Junction</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Rail junction identity C1. BAM routing for anomalous nuclear shipments C3 — ANALYTICALLY INFERRED.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38 — Sarov (VNIIEF)</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design role C1. Technology transfer to DPRK C4 — ANALYTICALLY INFERRED.</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39 — Trekhgorny</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assembly role C1–C2. Specific capabilities C2–C3.</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40 — Lesnoy</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C1. HEU metal production C2. Current operational status C2–C3.</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41 — Mayak</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reprocessing role C1. Pu stockpile quantities C2. Naval Pu reprocessing volume C3.</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42 — Zheleznogorsk</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Pu storage role C1. RT-2 completion status C2–C3. ADE-2 Pu quantities C2.</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43 — NIIAR Dimitrovgrad</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w:t>
            </w:r>
          </w:p>
        </w:tc>
        <w:tc>
          <w:tcPr>
            <w:tcW w:type="dxa" w:w="5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reactor types C1. Cf-252 weapons application C1. BOR-60/Sarov data sharing C3 — ANALYTICALLY INFERRED.</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44 — Kurchatov Institute</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C1–C2</w:t>
            </w:r>
          </w:p>
        </w:tc>
        <w:tc>
          <w:tcPr>
            <w:tcW w:type="dxa" w:w="5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Facility identity and research role C1. Personnel exchange with Sarov C2–C3 — ANALYTICALLY INFERRED.</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Pre-Publication Confidence Gaps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four assertions carry LOW CONFIDENCE — ANALYTICALLY INFERRED status and cannot be published as stated facts in a submission to SSRN, Georgetown SSP, or any peer-reviewed venue. Each requires either corroboration from Tier 1 or credible Tier 2 sources, or explicit reframing as analytical inference with appropriate labeling.</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DPRK lithium-6 procurement from NCCP (Node 33) — currently C3–C4. Requires a documented procurement chain from Tier 1 or credible Tier 2 sources, or warrants be reframed as 'analytically consistent with known DPRK procurement patterns' with explicit LOW CONFIDENCE — ANALYTICALLY INFERRED labeling.</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Technology transfer from Sarov to DPRK (Node 38) — currently C4. Either support with credible open-source evidence (IISS, 38 North, NTI) or remove as an asserted fact and reframe as an analytical hypothesis requiring further investigation before publication.</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BAM routing for anomalous nuclear shipments (Node 37) — currently C3. Appropriate as inference but warrants explicit labeling as LOW-MODERATE CONFIDENCE — ANALYTICALLY INFERRED rather than stated as established practice.</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BOR-60 weapons data sharing between NIIAR and Sarov (Node 43) — currently C3. Must be labeled LOW CONFIDENCE — ANALYTICALLY INFERRED based on institutional relationships, not documented data sharing.</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Academic Literature Engagement Requirements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four assertions in the corpus are labeled ANALYTICALLY INFERRED and carry C3–C4 confidence. Per the CONF-01 framework, these assertions are documented as analytical hypotheses, not established facts. Each remains in the corpus with explicit confidence labeling and must not be cited as established findings in any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ASSERTION</w:t>
            </w:r>
          </w:p>
        </w:tc>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LOCATION</w:t>
            </w:r>
          </w:p>
        </w:tc>
        <w:tc>
          <w:tcPr>
            <w:tcW w:type="dxa" w:w="5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EXCLUSION NOTE</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DPRK Li-6 procurement from NCCP</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N33 NCCP profile; RST-01</w:t>
            </w:r>
          </w:p>
        </w:tc>
        <w:tc>
          <w:tcPr>
            <w:tcW w:type="dxa" w:w="5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C3–C4, ANALYTICALLY INFERRED. Do not cite as established DPRK procurement fact.</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Technology transfer Sarov→DPRK</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N38 Sarov profile</w:t>
            </w:r>
          </w:p>
        </w:tc>
        <w:tc>
          <w:tcPr>
            <w:tcW w:type="dxa" w:w="5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C4, ANALYTICALLY INFERRED. Do not cite as confirmed proliferation event.</w:t>
            </w:r>
          </w:p>
        </w:tc>
      </w:tr>
      <w:tr>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BAM routing for anomalous nuclear shipments</w:t>
            </w:r>
          </w:p>
        </w:tc>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N37 Tayshet; N45 Vanino</w:t>
            </w:r>
          </w:p>
        </w:tc>
        <w:tc>
          <w:tcPr>
            <w:tcW w:type="dxa" w:w="5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C3, ANALYTICALLY INFERRED. Do not cite as confirmed nuclear logistics fact.</w:t>
            </w:r>
          </w:p>
        </w:tc>
      </w:tr>
      <w:tr>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BOR-60/Sarov data sharing</w:t>
            </w:r>
          </w:p>
        </w:tc>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N43 NIIAR profile</w:t>
            </w:r>
          </w:p>
        </w:tc>
        <w:tc>
          <w:tcPr>
            <w:tcW w:type="dxa" w:w="5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C3, ANALYTICALLY INFERRED. Do not cite as confirmed institutional relationship.</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March 2026 WP-2026 portfolio review identified academic literature integration as the primary gap for Georgetown SSP submission. The following literature categories warrant integration before SSRN or Georgetown SSP submission:</w:t>
      </w:r>
    </w:p>
    <w:p>
      <w:pPr>
        <w:spacing w:before="60" w:after="80" w:line="276"/>
        <w:ind w:left="360"/>
        <w:jc w:val="left"/>
      </w:pPr>
      <w:r>
        <w:rPr>
          <w:rFonts w:ascii="Arial" w:cs="Arial" w:eastAsia="Arial" w:hAnsi="Arial"/>
          <w:b/>
          <w:bCs/>
          <w:i w:val="false"/>
          <w:iCs w:val="false"/>
          <w:caps w:val="false"/>
          <w:color w:val="1B2A4A"/>
          <w:sz w:val="22"/>
          <w:szCs w:val="22"/>
        </w:rPr>
        <w:t xml:space="preserve">1.  </w:t>
      </w:r>
      <w:r>
        <w:rPr>
          <w:rFonts w:ascii="Arial" w:cs="Arial" w:eastAsia="Arial" w:hAnsi="Arial"/>
          <w:b w:val="false"/>
          <w:bCs w:val="false"/>
          <w:i w:val="false"/>
          <w:iCs w:val="false"/>
          <w:caps w:val="false"/>
          <w:color w:val="000000"/>
          <w:sz w:val="22"/>
          <w:szCs w:val="22"/>
        </w:rPr>
        <w:t xml:space="preserve">Nuclear fuel cycle technical baseline: IAEA Nuclear Energy Series publications on uranium enrichment, conversion, and fuel fabrication provide C1-quality technical grounding that should be explicitly cited in node profiles covering each process step.</w:t>
      </w:r>
    </w:p>
    <w:p>
      <w:pPr>
        <w:spacing w:before="60" w:after="80" w:line="276"/>
        <w:ind w:left="360"/>
        <w:jc w:val="left"/>
      </w:pPr>
      <w:r>
        <w:rPr>
          <w:rFonts w:ascii="Arial" w:cs="Arial" w:eastAsia="Arial" w:hAnsi="Arial"/>
          <w:b/>
          <w:bCs/>
          <w:i w:val="false"/>
          <w:iCs w:val="false"/>
          <w:caps w:val="false"/>
          <w:color w:val="1B2A4A"/>
          <w:sz w:val="22"/>
          <w:szCs w:val="22"/>
        </w:rPr>
        <w:t xml:space="preserve">2.  </w:t>
      </w:r>
      <w:r>
        <w:rPr>
          <w:rFonts w:ascii="Arial" w:cs="Arial" w:eastAsia="Arial" w:hAnsi="Arial"/>
          <w:b w:val="false"/>
          <w:bCs w:val="false"/>
          <w:i w:val="false"/>
          <w:iCs w:val="false"/>
          <w:caps w:val="false"/>
          <w:color w:val="000000"/>
          <w:sz w:val="22"/>
          <w:szCs w:val="22"/>
        </w:rPr>
        <w:t xml:space="preserve">Nonproliferation scholarship: Matthew Bunn and colleagues at the Harvard Belfer Center (particularly 'Preventing Nuclear Terrorism' series); Frank von Hippel at Princeton SPIA on enrichment and reprocessing constraints; NTI Global Nuclear Policy Program analytical reports on Russian fuel cycle security. These are the foundational academic references in this domain that submission reviewers will expect to see cited.</w:t>
      </w:r>
    </w:p>
    <w:p>
      <w:pPr>
        <w:spacing w:before="60" w:after="80" w:line="276"/>
        <w:ind w:left="360"/>
        <w:jc w:val="left"/>
      </w:pPr>
      <w:r>
        <w:rPr>
          <w:rFonts w:ascii="Arial" w:cs="Arial" w:eastAsia="Arial" w:hAnsi="Arial"/>
          <w:b/>
          <w:bCs/>
          <w:i w:val="false"/>
          <w:iCs w:val="false"/>
          <w:caps w:val="false"/>
          <w:color w:val="1B2A4A"/>
          <w:sz w:val="22"/>
          <w:szCs w:val="22"/>
        </w:rPr>
        <w:t xml:space="preserve">3.  </w:t>
      </w:r>
      <w:r>
        <w:rPr>
          <w:rFonts w:ascii="Arial" w:cs="Arial" w:eastAsia="Arial" w:hAnsi="Arial"/>
          <w:b w:val="false"/>
          <w:bCs w:val="false"/>
          <w:i w:val="false"/>
          <w:iCs w:val="false"/>
          <w:caps w:val="false"/>
          <w:color w:val="000000"/>
          <w:sz w:val="22"/>
          <w:szCs w:val="22"/>
        </w:rPr>
        <w:t xml:space="preserve">Sanctions effectiveness literature: Thomas Biersteker et al. (Graduate Institute Geneva) on targeted sanctions effectiveness; Clara Portela on EU sanctions design and compliance; Daniel Drezner (Tufts) on the theory of economic sanctions. The SENI scoring model's D1–D5 dimensions implicitly operationalize variables from this literature (legal authority, financial leverage, collateral cost, coalition requirement, time-to-impact) without citing the theoretical basis — a gap that Georgetown SSP reviewers will identify. The key engagement point is Drezner's sender-target cost-benefit framework as it applies to nuclear-specific sanctions.</w:t>
      </w:r>
    </w:p>
    <w:p>
      <w:pPr>
        <w:spacing w:before="60" w:after="80" w:line="276"/>
        <w:ind w:left="360"/>
        <w:jc w:val="left"/>
      </w:pPr>
      <w:r>
        <w:rPr>
          <w:rFonts w:ascii="Arial" w:cs="Arial" w:eastAsia="Arial" w:hAnsi="Arial"/>
          <w:b/>
          <w:bCs/>
          <w:i w:val="false"/>
          <w:iCs w:val="false"/>
          <w:caps w:val="false"/>
          <w:color w:val="1B2A4A"/>
          <w:sz w:val="22"/>
          <w:szCs w:val="22"/>
        </w:rPr>
        <w:t xml:space="preserve">4.  </w:t>
      </w:r>
      <w:r>
        <w:rPr>
          <w:rFonts w:ascii="Arial" w:cs="Arial" w:eastAsia="Arial" w:hAnsi="Arial"/>
          <w:b w:val="false"/>
          <w:bCs w:val="false"/>
          <w:i w:val="false"/>
          <w:iCs w:val="false"/>
          <w:caps w:val="false"/>
          <w:color w:val="000000"/>
          <w:sz w:val="22"/>
          <w:szCs w:val="22"/>
        </w:rPr>
        <w:t xml:space="preserve">Russian nuclear complex primary sources: Rosatom annual reports (available in English translation), TVEL JSC public filings, World Nuclear Association country profiles, and Russian-language sources including Atomnaya Energiya journal provide verifiable C1 sources. The IAEA Nuclear Energy Series (NES) on the Russian fuel cycle should be cited as the primary technical reference. These sources are cited at point of use in node profiles but not synthesized in a literature review section.</w:t>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WP-2026-SENI-CONF-01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p>
      <w:r>
        <w:br w:type="page"/>
      </w:r>
    </w:p>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WP-2026-SENI-RST-01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RECIPIENT STATE THREAT CHARACTERIZATION</w:t>
      </w:r>
    </w:p>
    <w:p>
      <w:pPr>
        <w:spacing w:before="0" w:after="160" w:line="276"/>
        <w:jc w:val="left"/>
      </w:pPr>
      <w:r>
        <w:rPr>
          <w:rFonts w:ascii="Arial" w:cs="Arial" w:eastAsia="Arial" w:hAnsi="Arial"/>
          <w:b/>
          <w:bCs/>
          <w:i w:val="false"/>
          <w:iCs w:val="false"/>
          <w:caps w:val="false"/>
          <w:color w:val="4A5568"/>
          <w:sz w:val="24"/>
          <w:szCs w:val="24"/>
        </w:rPr>
        <w:t xml:space="preserve">Iran, DPRK, China — Demand-Side Program Assessment for SENI Enforcement Context</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Confidence tiers per WP-2026-SENI-CONF-01. Does not constitute legal advice and does not establish classified findings.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200" w:after="60" w:line="276"/>
        <w:jc w:val="left"/>
      </w:pPr>
      <w:r>
        <w:rPr>
          <w:rFonts w:ascii="Arial" w:cs="Arial" w:eastAsia="Arial" w:hAnsi="Arial"/>
          <w:b/>
          <w:bCs/>
          <w:i w:val="false"/>
          <w:iCs w:val="false"/>
          <w:caps/>
          <w:color w:val="1B2A4A"/>
          <w:sz w:val="20"/>
          <w:szCs w:val="20"/>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1</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Iran's declared 60% U-235 enrichment and accumulated stockpile assessed as sufficient for multiple devices if further enriched to 90%+ represents the most acute near-term nonproliferation risk in the demand-side picture. Breakout timeline is assessed at weeks to months as of early 2026 [TIER 1 — IAEA Director General Reports 2024–2025].</w:t>
            </w:r>
          </w:p>
          <w:p>
            <w:pPr>
              <w:spacing w:before="0" w:after="120" w:line="276"/>
              <w:jc w:val="left"/>
            </w:pPr>
            <w:r>
              <w:rPr>
                <w:rFonts w:ascii="Arial" w:cs="Arial" w:eastAsia="Arial" w:hAnsi="Arial"/>
                <w:b/>
                <w:bCs/>
                <w:i w:val="false"/>
                <w:iCs w:val="false"/>
                <w:caps w:val="false"/>
                <w:color w:val="4A5568"/>
                <w:sz w:val="18"/>
                <w:szCs w:val="18"/>
              </w:rPr>
              <w:t xml:space="preserve">LIKELY — </w:t>
            </w:r>
            <w:r>
              <w:rPr>
                <w:rFonts w:ascii="Arial" w:cs="Arial" w:eastAsia="Arial" w:hAnsi="Arial"/>
                <w:b/>
                <w:bCs/>
                <w:i w:val="false"/>
                <w:iCs w:val="false"/>
                <w:caps w:val="false"/>
                <w:color w:val="8B6914"/>
                <w:sz w:val="18"/>
                <w:szCs w:val="18"/>
              </w:rPr>
              <w:t xml:space="preserve">MODERATE-HIGH CONFIDENCE</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2</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DPRK's operational nuclear weapons program and post-2022 Russia-DPRK strategic alignment create the most plausible pathway for Russian nuclear assistance — including centrifuge technology or lithium-6 — to reach a weapons program. This assessment does not establish that such transfer has occurred.</w:t>
            </w:r>
          </w:p>
          <w:p>
            <w:pPr>
              <w:spacing w:before="0" w:after="120" w:line="276"/>
              <w:jc w:val="left"/>
            </w:pPr>
            <w:r>
              <w:rPr>
                <w:rFonts w:ascii="Arial" w:cs="Arial" w:eastAsia="Arial" w:hAnsi="Arial"/>
                <w:b/>
                <w:bCs/>
                <w:i w:val="false"/>
                <w:iCs w:val="false"/>
                <w:caps w:val="false"/>
                <w:color w:val="4A5568"/>
                <w:sz w:val="18"/>
                <w:szCs w:val="18"/>
              </w:rPr>
              <w:t xml:space="preserve">ROUGHLY EVEN ODDS — </w:t>
            </w:r>
            <w:r>
              <w:rPr>
                <w:rFonts w:ascii="Arial" w:cs="Arial" w:eastAsia="Arial" w:hAnsi="Arial"/>
                <w:b/>
                <w:bCs/>
                <w:i w:val="false"/>
                <w:iCs w:val="false"/>
                <w:caps w:val="false"/>
                <w:color w:val="8B6914"/>
                <w:sz w:val="18"/>
                <w:szCs w:val="18"/>
              </w:rPr>
              <w:t xml:space="preserve">LOW-MODERATE CONFIDENCE — ANALYTICALLY INFERRED</w:t>
            </w:r>
          </w:p>
        </w:tc>
      </w:tr>
      <w:tr>
        <w:tc>
          <w:tcPr>
            <w:tcW w:type="dxa" w:w="700"/>
            <w:tcBorders>
              <w:top w:val="none" w:color="FFFFFF" w:sz="0"/>
              <w:left w:val="none" w:color="FFFFFF" w:sz="0"/>
              <w:bottom w:val="none" w:color="FFFFFF" w:sz="0"/>
              <w:right w:val="none" w:color="FFFFFF" w:sz="0"/>
            </w:tcBorders>
            <w:shd w:fill="1B2A4A" w:val="clear"/>
            <w:tcMar>
              <w:top w:type="dxa" w:w="100"/>
              <w:left w:type="dxa" w:w="120"/>
              <w:bottom w:type="dxa" w:w="100"/>
              <w:right w:type="dxa" w:w="80"/>
            </w:tcMar>
            <w:vAlign w:val="center"/>
          </w:tcPr>
          <w:p>
            <w:pPr>
              <w:spacing w:before="0" w:after="120" w:line="276"/>
              <w:jc w:val="center"/>
            </w:pPr>
            <w:r>
              <w:rPr>
                <w:rFonts w:ascii="Arial" w:cs="Arial" w:eastAsia="Arial" w:hAnsi="Arial"/>
                <w:b/>
                <w:bCs/>
                <w:i w:val="false"/>
                <w:iCs w:val="false"/>
                <w:caps w:val="false"/>
                <w:color w:val="FFFFFF"/>
                <w:sz w:val="28"/>
                <w:szCs w:val="28"/>
              </w:rPr>
              <w:t xml:space="preserve">KJ 3</w:t>
            </w:r>
          </w:p>
        </w:tc>
        <w:tc>
          <w:tcPr>
            <w:tcW w:type="dxa" w:w="8660"/>
            <w:tcBorders>
              <w:top w:val="none" w:color="FFFFFF" w:sz="0"/>
              <w:left w:val="none" w:color="FFFFFF" w:sz="0"/>
              <w:bottom w:val="none" w:color="FFFFFF" w:sz="0"/>
              <w:right w:val="none" w:color="FFFFFF" w:sz="0"/>
            </w:tcBorders>
            <w:shd w:fill="E8EDF5" w:val="clear"/>
            <w:tcMar>
              <w:top w:type="dxa" w:w="100"/>
              <w:left w:type="dxa" w:w="160"/>
              <w:bottom w:type="dxa" w:w="100"/>
              <w:right w:type="dxa" w:w="160"/>
            </w:tcMar>
          </w:tcPr>
          <w:p>
            <w:pPr>
              <w:spacing w:before="0" w:after="60" w:line="276"/>
              <w:jc w:val="left"/>
            </w:pPr>
            <w:r>
              <w:rPr>
                <w:rFonts w:ascii="Arial" w:cs="Arial" w:eastAsia="Arial" w:hAnsi="Arial"/>
                <w:b w:val="false"/>
                <w:bCs w:val="false"/>
                <w:i w:val="false"/>
                <w:iCs w:val="false"/>
                <w:caps w:val="false"/>
                <w:color w:val="000000"/>
                <w:sz w:val="22"/>
                <w:szCs w:val="22"/>
              </w:rPr>
              <w:t xml:space="preserve">China's relationship with the Russian nuclear fuel cycle is primarily a legitimate commercial relationship. China as a demand-side state is primarily an enforcement constraint to manage, not a sanctions target. Supply substitution for Chinese VVER operators is the long-term structural resolution.</w:t>
            </w:r>
          </w:p>
          <w:p>
            <w:pPr>
              <w:spacing w:before="0" w:after="120" w:line="276"/>
              <w:jc w:val="left"/>
            </w:pPr>
            <w:r>
              <w:rPr>
                <w:rFonts w:ascii="Arial" w:cs="Arial" w:eastAsia="Arial" w:hAnsi="Arial"/>
                <w:b/>
                <w:bCs/>
                <w:i w:val="false"/>
                <w:iCs w:val="false"/>
                <w:caps w:val="false"/>
                <w:color w:val="4A5568"/>
                <w:sz w:val="18"/>
                <w:szCs w:val="18"/>
              </w:rPr>
              <w:t xml:space="preserve">ALMOST CERTAINLY — </w:t>
            </w:r>
            <w:r>
              <w:rPr>
                <w:rFonts w:ascii="Arial" w:cs="Arial" w:eastAsia="Arial" w:hAnsi="Arial"/>
                <w:b/>
                <w:bCs/>
                <w:i w:val="false"/>
                <w:iCs w:val="false"/>
                <w:caps w:val="false"/>
                <w:color w:val="8B6914"/>
                <w:sz w:val="18"/>
                <w:szCs w:val="18"/>
              </w:rPr>
              <w:t xml:space="preserve">HIGH CONFIDENCE</w:t>
            </w:r>
          </w:p>
        </w:tc>
      </w:tr>
    </w:tbl>
    <w:p>
      <w:pPr>
        <w:spacing w:before="16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Scope and Limitations</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document provides a policy-level characterization of the three principal recipient states for Russian nuclear material or technology transfer. It is not a node-by-node infrastructure map of foreign weapons programs. Its purpose is to define the demand-side context for SENI enforcement theory — establishing what each state's program needs, what it already has, and where Russian supply chain connections are analytically plausible. All assessments are drawn from published IAEA reports, congressional testimony, and open-source think tank analysis. Confidence tiers from WP-2026-SENI-CONF-01 apply throughout.</w:t>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Iran</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Program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Director General reports to the Board of Governors document that Iran has enriched uranium to 60% U-235 at Fordow (Qom Province) and Natanz (Isfahan Province) under declared safeguards and has accumulated a stockpile of enriched material [TIER 1 — IAEA GOV/2025 series DG Reports]. Multiple government assessments, including ODNI's 2024 Annual Threat Assessment, indicate that Iran's breakout timeline is measured in weeks to months [TIER 1 — ODNI ATA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IAEA and ODNI reporting supports a moderate-high-confidence judgment that Iran's 60% enrichment stockpile is the most acute near-term nonproliferation risk in the demand-side picture. Iran has not been found to have produced weapons-grade material, but the technical gap between 60% and weapons-grade (90%+) is operationally bridgeable in a short breakout window.</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Iran's specific breakout timeline with precision. ODNI's 'weeks to months' assessment reflects a range of scenarios. The public record does not permit a firm conclusion on Iran's current weaponization work status.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Russian Supply Chain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IAEA safeguards documentation identifies the Bushehr NPP as operating under declared IAEA safeguards with Russian fuel supply under TVEL JSC contracts [TIER 1 — IAEA CNPP Iran 2024]. State Department compliance reports have raised concerns about Russian-Iranian nuclear technical cooperation beyond Bushehr but have not established specific prohibited transfers [TIER 1 — State Department Compliance Reports 2022–2024].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moderate-confidence judgment that Russia's Bushehr fuel supply relationship creates institutional proximity and technical cooperation channels that extend beyond the declared civilian program. The proliferation concern is not Bushehr fuel itself but the knowledge transfer and relationship infrastructure built around it.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specific instances of Russian centrifuge technology transfer to Iran. This assessment is LOW-MODERATE CONFIDENCE — ANALYTICALLY INFERRED based on Iranian centrifuge development trajectories and cannot serve as a published enforcement predicate without corroboration.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DPRK</w:t>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A. Program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ODNI's 2024 Annual Threat Assessment assesses that North Korea has an operational nuclear weapons program with HEU enrichment capability at Yongbyon and potentially additional undeclared sites [TIER 1 — ODNI ATA 2024]. The DPRK has conducted six confirmed nuclear tests and is assessed to have deployed nuclear-armed ballistic missiles. IAEA monitoring was expelled in 2009 and has not resumed.</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ODNI reporting supports a high-confidence judgment that DPRK has an operational nuclear weapons program — the most advanced and deployed of the three demand-side states assessed here. Its material bottleneck is not feedstock but enrichment capacity and weapons design refinement.</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the current size of DPRK's fissile material stockpile, the number of deployed warheads, or the operational status of any specific missile system. IAEA monitoring absence since 2009 creates a significant analytical gap.</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B. Russian Supply Chain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UN Panel of Experts reports to the UNSC 1718 Committee document post-2022 Russia-DPRK arms transfer relationships, including DPRK conventional munitions transfers to Russia [TIER 1 — UN Panel of Experts S/2024/215]. ODNI's 2024 ATA raises concerns about Russian military technology transfer to DPRK as reciprocation [TIER 1 — ODNI ATA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UN and ODNI reporting supports a low-moderate-confidence judgment that post-2022 Russia-DPRK strategic alignment creates conditions for nuclear-adjacent cooperation that did not exist before. This assessment does not establish that nuclear material or weapons design information has been transferred. The lithium-6 (Node 33) and centrifuge technology (Node 28) concerns are analytically plausible but LOW CONFIDENCE — ANALYTICALLY INFERRED.</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specific instances of nuclear material or weapons design technology transfer from Russia to DPRK post-2022. This assessment is LOW-MODERATE CONFIDENCE based on strategic alignment indicators, not documented nuclear transfers.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ATTRIBUTION</w:t>
            </w:r>
          </w:p>
        </w:tc>
        <w:tc>
          <w:tcPr>
            <w:tcW w:type="dxa" w:w="7920"/>
            <w:tcBorders>
              <w:top w:val="none" w:color="FFFFFF" w:sz="0"/>
              <w:left w:val="none" w:color="FFFFFF" w:sz="0"/>
              <w:bottom w:val="none" w:color="FFFFFF" w:sz="0"/>
              <w:right w:val="none" w:color="FFFFFF" w:sz="0"/>
            </w:tcBorders>
            <w:shd w:fill="E8EDF5"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Pentagon's 2023 China Military Power Report assesses that China's nuclear warhead stockpile is expanding toward a 1,500-warhead goal by 2035 [TIER 1 — DoD China Military Power Report 2023]. IAEA safeguards documentation identifies CNNC as operating Chinese VVER-design reactors (Tianwan, Xudapu) with declared TVEL fuel supply [TIER 1 — IAEA CNPP China 2024].</w:t>
            </w:r>
          </w:p>
        </w:tc>
      </w:tr>
      <w:tr>
        <w:tc>
          <w:tcPr>
            <w:tcW w:type="dxa" w:w="1440"/>
            <w:tcBorders>
              <w:top w:val="none" w:color="FFFFFF" w:sz="0"/>
              <w:left w:val="none" w:color="FFFFFF" w:sz="0"/>
              <w:bottom w:val="none" w:color="FFFFFF" w:sz="0"/>
              <w:right w:val="none" w:color="FFFFFF" w:sz="0"/>
            </w:tcBorders>
            <w:shd w:fill="4A5568"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JUDGMENT</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Official reporting supports a high-confidence judgment that China's relationship with the Russian nuclear fuel cycle is a legitimate commercial relationship — TVEL fuel supply for declared civilian reactors under IAEA safeguards. China has its own enrichment capability and does not require Russian enrichment services for its weapons program. China is primarily an enforcement constraint, not a proliferation pathway.</w:t>
            </w:r>
          </w:p>
        </w:tc>
      </w:tr>
      <w:tr>
        <w:tc>
          <w:tcPr>
            <w:tcW w:type="dxa" w:w="1440"/>
            <w:tcBorders>
              <w:top w:val="none" w:color="FFFFFF" w:sz="0"/>
              <w:left w:val="none" w:color="FFFFFF" w:sz="0"/>
              <w:bottom w:val="none" w:color="FFFFFF" w:sz="0"/>
              <w:right w:val="none" w:color="FFFFFF" w:sz="0"/>
            </w:tcBorders>
            <w:shd w:fill="7A4000" w:val="clear"/>
            <w:tcMar>
              <w:top w:type="dxa" w:w="80"/>
              <w:left w:type="dxa" w:w="100"/>
              <w:bottom w:type="dxa" w:w="80"/>
              <w:right w:type="dxa" w:w="100"/>
            </w:tcMar>
          </w:tcPr>
          <w:p>
            <w:pPr>
              <w:spacing w:before="0" w:after="120" w:line="276"/>
              <w:jc w:val="center"/>
            </w:pPr>
            <w:r>
              <w:rPr>
                <w:rFonts w:ascii="Arial" w:cs="Arial" w:eastAsia="Arial" w:hAnsi="Arial"/>
                <w:b/>
                <w:bCs/>
                <w:i w:val="false"/>
                <w:iCs w:val="false"/>
                <w:caps/>
                <w:color w:val="FFFFFF"/>
                <w:sz w:val="18"/>
                <w:szCs w:val="18"/>
              </w:rPr>
              <w:t xml:space="preserve">LIMITS</w:t>
            </w:r>
          </w:p>
        </w:tc>
        <w:tc>
          <w:tcPr>
            <w:tcW w:type="dxa" w:w="792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public record does not establish that Chinese VVER operators are seeking to reduce Russian fuel dependence. The public record does not establish what share of China's civilian reactor fuel requirements is currently met by TVEL versus domestic enrichment.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
            </w:r>
          </w:p>
        </w:tc>
        <w:tc>
          <w:tcPr>
            <w:tcW w:type="dxa" w:w="252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IRAN</w:t>
            </w:r>
          </w:p>
        </w:tc>
        <w:tc>
          <w:tcPr>
            <w:tcW w:type="dxa" w:w="252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DPRK</w:t>
            </w:r>
          </w:p>
        </w:tc>
        <w:tc>
          <w:tcPr>
            <w:tcW w:type="dxa" w:w="252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CHINA</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Weapons status</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Pre-nuclear; 60% HEU stockpile; weeks-to-months breakout [ODNI ATA 2024]</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Operational; confirmed HEU; deployed missiles [ODNI ATA 2024]</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Declared; expanding to ~1,500 warheads [DoD 2023]</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Russian connection</w:t>
            </w:r>
          </w:p>
        </w:tc>
        <w:tc>
          <w:tcPr>
            <w:tcW w:type="dxa" w:w="252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Bushehr civilian + C2 institutional proximity</w:t>
            </w:r>
          </w:p>
        </w:tc>
        <w:tc>
          <w:tcPr>
            <w:tcW w:type="dxa" w:w="252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C2 arms transfer; C3 nuclear-specific — ANALYTICALLY INFERRED</w:t>
            </w:r>
          </w:p>
        </w:tc>
        <w:tc>
          <w:tcPr>
            <w:tcW w:type="dxa" w:w="252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C1 civilian fuel (TVEL); no weapons nexus</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Primary SENI nodes</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Rosatom-Iran tech cooperation entities</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NCCP Li-6 (Node 33), UECC (Node 28), Vostochny (Node 36)</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Krasnokamensk (Node 27), Angarsk (Node 31) — enforcement constraints</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Primary instrument</w:t>
            </w:r>
          </w:p>
        </w:tc>
        <w:tc>
          <w:tcPr>
            <w:tcW w:type="dxa" w:w="252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JCPOA + EO 13382 Iran nexus</w:t>
            </w:r>
          </w:p>
        </w:tc>
        <w:tc>
          <w:tcPr>
            <w:tcW w:type="dxa" w:w="252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13722 DPRK nexus</w:t>
            </w:r>
          </w:p>
        </w:tc>
        <w:tc>
          <w:tcPr>
            <w:tcW w:type="dxa" w:w="252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Supply substitution — not a sanctions target</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Enforcement priority</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 — breakout timeline acute</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Highest — operational program; post-2022 alignment</w:t>
            </w:r>
          </w:p>
        </w:tc>
        <w:tc>
          <w:tcPr>
            <w:tcW w:type="dxa" w:w="252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 as sanctions target</w:t>
            </w:r>
          </w:p>
        </w:tc>
      </w:tr>
    </w:tbl>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WP-2026-SENI-RST-01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2026-03-19T11:56:48.721Z</dcterms:created>
  <dcterms:modified xsi:type="dcterms:W3CDTF">2026-03-19T11:56:48.722Z</dcterms:modified>
</cp:coreProperties>
</file>

<file path=docProps/custom.xml><?xml version="1.0" encoding="utf-8"?>
<Properties xmlns="http://schemas.openxmlformats.org/officeDocument/2006/custom-properties" xmlns:vt="http://schemas.openxmlformats.org/officeDocument/2006/docPropsVTypes"/>
</file>