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WP-2026-SENI-CI-01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COUNTERINTELLIGENCE EXPOSURE ASSESSMENT: WP-2026-SENI SERIES</w:t>
      </w:r>
    </w:p>
    <w:p>
      <w:pPr>
        <w:spacing w:before="0" w:after="160" w:line="276"/>
        <w:jc w:val="left"/>
      </w:pPr>
      <w:r>
        <w:rPr>
          <w:rFonts w:ascii="Arial" w:cs="Arial" w:eastAsia="Arial" w:hAnsi="Arial"/>
          <w:b/>
          <w:bCs/>
          <w:i w:val="false"/>
          <w:iCs w:val="false"/>
          <w:caps w:val="false"/>
          <w:color w:val="4A5568"/>
          <w:sz w:val="24"/>
          <w:szCs w:val="24"/>
        </w:rPr>
        <w:t xml:space="preserve">Strategic Enforcement Node Index — Standalone CI Assessment · March 2026</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Open-source CI exposure methodology applied to public repository content. No classified information used or referenced. Adversary utility assessments are analytically inferred, not intelligence reporting. UNCLASSIFIED // OPEN SOURCE ANALYTIC PRODUCT.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Working Paper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WP-2026-SENI-CI-01</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Title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Counterintelligence Exposure Assessment: WP-2026-SENI Series</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Assessment Date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March 2026 (v1.1 — v5.2 Register addendum: Section 2.3 register-specific CI vectors, Section 8.5 recommendation, T2/T8 register row added. v1.0 — Full SENI corpus; FPA-01-v3, FPA-02, GL 115C correction)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Classification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Unclassified // Open Source Analytic Product</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Series Reference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WP-2026-SENI (Standalone Sub-Series CI Assessment)</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Relationship to CI-Assessment v3.0</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Standalone supplement. WP-2026-CI-Assessment v3.0 covers SENI-01 and the Interactive Map at series level. This document provides SENI sub-series specific assessment including FPA-01-v3, FPA-02, SCORE-01-v2, Layer 3, and GL 115C corpus correction.</w:t>
            </w:r>
          </w:p>
        </w:tc>
      </w:tr>
      <w:tr>
        <w:tc>
          <w:tcPr>
            <w:tcW w:type="dxa" w:w="1800"/>
            <w:tcBorders>
              <w:top w:val="single" w:color="D0D4DA" w:sz="4"/>
              <w:left w:val="single" w:color="D0D4DA" w:sz="4"/>
              <w:bottom w:val="single" w:color="D0D4DA" w:sz="4"/>
              <w:right w:val="single" w:color="D0D4DA" w:sz="4"/>
            </w:tcBorders>
            <w:shd w:fill="F8FAFC" w:val="clear"/>
            <w:tcMar>
              <w:top w:type="dxa" w:w="80"/>
              <w:left w:type="dxa" w:w="120"/>
              <w:bottom w:type="dxa" w:w="80"/>
              <w:right w:type="dxa" w:w="120"/>
            </w:tcMar>
          </w:tcPr>
          <w:p>
            <w:pPr>
              <w:spacing w:before="0" w:after="120" w:line="276"/>
              <w:jc w:val="left"/>
            </w:pPr>
            <w:r>
              <w:rPr>
                <w:rFonts w:ascii="Arial" w:cs="Arial" w:hAnsi="Arial"/>
                <w:b/>
                <w:bCs/>
                <w:color w:val="1B2A4A"/>
                <w:sz w:val="18"/>
                <w:szCs w:val="18"/>
              </w:rPr>
              <w:t xml:space="preserve">v5.2 Register Tabular Aggregation</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hAnsi="Arial"/>
                <w:color w:val="000000"/>
                <w:sz w:val="18"/>
                <w:szCs w:val="18"/>
              </w:rPr>
              <w:t xml:space="preserve">372-node single-file register concentrates nuclear FPA chain, SWIFT/FinCEN gap disclosures across 15 domains, and full enforcement theory in machine-parseable format.</w:t>
            </w:r>
          </w:p>
        </w:tc>
        <w:tc>
          <w:tcPr>
            <w:tcW w:type="dxa" w:w="1000"/>
            <w:tcBorders>
              <w:top w:val="single" w:color="D0D4DA" w:sz="4"/>
              <w:left w:val="single" w:color="D0D4DA" w:sz="4"/>
              <w:bottom w:val="single" w:color="D0D4DA" w:sz="4"/>
              <w:right w:val="single" w:color="D0D4DA" w:sz="4"/>
            </w:tcBorders>
            <w:shd w:fill="FEF3E2" w:val="clear"/>
            <w:tcMar>
              <w:top w:type="dxa" w:w="80"/>
              <w:left w:type="dxa" w:w="120"/>
              <w:bottom w:type="dxa" w:w="80"/>
              <w:right w:type="dxa" w:w="120"/>
            </w:tcMar>
          </w:tcPr>
          <w:p>
            <w:pPr>
              <w:spacing w:before="0" w:after="120" w:line="276"/>
              <w:jc w:val="center"/>
            </w:pPr>
            <w:r>
              <w:rPr>
                <w:rFonts w:ascii="Arial" w:cs="Arial" w:hAnsi="Arial"/>
                <w:b/>
                <w:bCs/>
                <w:color w:val="D4880A"/>
                <w:sz w:val="18"/>
                <w:szCs w:val="18"/>
              </w:rPr>
              <w:t xml:space="preserve">HIGH</w:t>
            </w:r>
          </w:p>
        </w:tc>
        <w:tc>
          <w:tcPr>
            <w:tcW w:type="dxa" w:w="4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hAnsi="Arial"/>
                <w:color w:val="000000"/>
                <w:sz w:val="18"/>
                <w:szCs w:val="18"/>
              </w:rPr>
              <w:t xml:space="preserve">MODERATE — The register does not create new exposure beyond the sub-series documents but concentrates and pre-aggregates the same content in a format requiring less adversary analytical mediation. Single-file extractability is the primary differentiating CI property.</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Methodology</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Open-source CI exposure methodology. Five dimensions: Adversary Utility; Analytic Method Exposure; Gap Mapping; Source Triangulation Risk; Aggregation Risk. Sixth dimension added: Legal Exposure.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FINAL — Style Guide v3.0 Compliant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NOTICE AND SCOPE STATEMENT: This document assesses the CI exposure profile of the WP-2026-SENI sub-series specifically. It does not supersede WP-2026-CI-Assessment v3.0, which addresses the broader WP-2026 series. The SENI sub-series warrants standalone CI assessment because it contains named Western financial institutions (FPA-01-v3), named EU utility counterparties (FPA-02), a five-dimension quantitative scoring model with hard-stop conditions, and three Layer 3 strategic annexes — none of which were assessed in CI-Assessment v3.0 beyond the SENI-01 matrix and Interactive Map references. Adversary utility ratings are analytically inferred. They do not reflect confirmed adversary collection activity.</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WP-2026-SENI sub-series, taken in aggregate, constitutes a functionally complete open-source sanctions enforcement targeting architecture for the Russian nuclear fuel cycle. The series documents which nodes U.S. enforcement treats as highest priority, the specific evidentiary standards required for OFAC designation, named Western financial counterparties, and the second-order consequences of enforcement action at 30/90/180-day horizons. The aggregation of these ten documents exceeds the operational utility of any individual document.</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FPA-01-v3 is assessed as the highest single-document CI exposure item in the SENI sub-series. It names Wells Fargo Bank N.A. as a Lantheus Medical Imaging banking institution via SEC S-1 filing, traces the Isotope JSC → Nordion → Lantheus → Wells Fargo chain at Tier 1 evidentiary standard, and documents the specific inference step separating D2=[4+] from D2=[5-OSINT]. A Russian FSB Financial Intelligence Directorate analyst reading FPA-01-v3 obtains a complete map of the Western financial nexus assessed as most vulnerable to enforcement action, including the specific gap that would need to be closed to achieve transaction-level confirmation.</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FPA-02 names four EU nuclear utility operators — ČEZ, Fortum, MVM Paks, and Slovenské elektrárne — as documented TVEL counterparties with confirmed fuel assembly purchase relationships and quantified financial exposure values (Hungary approximately €124M/year; Slovakia approximately €200M/year in 2023). This is assessed as operationally useful to Russian enforcement-evasion planning: the document identifies which EU utilities are transitioning away from TVEL on what timeline, which are most dependent, and what the financial exposure magnitude is.</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4</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SCORE-01-v2 five-dimension model, hard-stop conditions, and dimension-floor tier logic constitute a complete map of the evidentiary standards the SENI framework treats as required for Tier 1 enforcement action. A Russian government entity reading SCORE-01-v2 obtains explicit thresholds: D1≥4, D2≥3, D3≥3 required for Tier 1 classification; D3≤1 triggers hard-stop to Tier 2; UECC is correctly deferred with precondition documented. This functions as a compliance-avoidance calibration tool.</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5</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GL 115C corpus correction — documenting three consecutive OFAC renewals of the civil nuclear carve-out (GL 115 → 115A → 115B → 115C, now valid through June 18, 2026) with analysis that non-renewal requires a deliberate policy decision — is assessed as useful to Russian entities currently operating under GL 115C authorization. The analysis characterizes three renewals as evidence of a deliberate policy carve-out rather than a transitional measure, which supports a judgment by covered entities that continued operations under the license are unlikely to be disrupted on a date-certain basis.</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6</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overall legal exposure of the WP-2026-SENI series is assessed as very low. All content is derived from public sources including OFAC guidance, SEC filings, press releases, and academic publications. No classified information is present. The First Amendment protections assessed in WP-2026-CI-Assessment v3.0 apply to the SENI sub-series without modification.</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Part I — Document-by-Document CI Risk Assessment</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Risk ratings reflect adversary utility assessed under the five-dimension framework. CRITICAL indicates near-complete adversary operational utility for the specific vector identified. HIGH indicates significant utility with defined limits. MODERATE indicates useful but reconstructible from independent collection.</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000"/>
        <w:gridCol w:w="4660"/>
      </w:tblGrid>
      <w:tr>
        <w:tc>
          <w:tcPr>
            <w:tcW w:type="dxa" w:w="1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DOCUMENT</w:t>
            </w:r>
          </w:p>
        </w:tc>
        <w:tc>
          <w:tcPr>
            <w:tcW w:type="dxa" w:w="2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CI RISK VECTOR</w:t>
            </w:r>
          </w:p>
        </w:tc>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RISK RATING</w:t>
            </w:r>
          </w:p>
        </w:tc>
        <w:tc>
          <w:tcPr>
            <w:tcW w:type="dxa" w:w="46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PRIMARY ADVERSARY UTILITY</w:t>
            </w:r>
          </w:p>
        </w:tc>
      </w:tr>
      <w:tr>
        <w:tc>
          <w:tcPr>
            <w:tcW w:type="dxa" w:w="15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FPA-01-v3
(Financial Pathway Analysis — Isotope JSC)</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Names Wells Fargo Bank N.A. as Lantheus banking institution via SEC S-1 (EDGAR CIK 0001521036). Documents complete five-node chain: NIIAR → Isotope JSC → Nordion → Lantheus → Wells Fargo. D2=[4+] inference gap explicitly documented.</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CRITICAL</w:t>
            </w:r>
          </w:p>
        </w:tc>
        <w:tc>
          <w:tcPr>
            <w:tcW w:type="dxa" w:w="46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Assessed as almost certainly providing Russian SVR/FSB Financial Intelligence Directorate with the most complete open-source map of the Western financial nexus for Russian nuclear isotope exports. The D2=[4+] notation explicitly identifies the single inference step separating OSINT from transaction-confirmed financial intelligence — a roadmap for what evasion action would defeat the designation package.</w:t>
            </w:r>
          </w:p>
        </w:tc>
      </w:tr>
      <w:tr>
        <w:tc>
          <w:tcPr>
            <w:tcW w:type="dxa" w:w="15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FPA-02
(Financial Pathway Analysis — ChMP)</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Names ČEZ, Fortum, MVM Paks, and Slovenské elektrárne as TVEL counterparties. Quantifies financial exposure (Hungary ~€124M/year; Slovakia ~€200M/year 2023). Documents GL 115C renewal history and non-renewal analysis. Maps diversification timelines by operator.</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c>
          <w:tcPr>
            <w:tcW w:type="dxa" w:w="46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Assessed as likely providing Russian enforcement-evasion planners with a structured map of EU utility TVEL dependency, financial exposure magnitude, and transition timelines. The identification of MVM Paks as 'most TVEL-dependent EU operator with no defined exit date' and Slovakia's Fico government as a political risk to diversification discloses the specific coalition vulnerabilities assessed as most significant.</w:t>
            </w:r>
          </w:p>
        </w:tc>
      </w:tr>
      <w:tr>
        <w:tc>
          <w:tcPr>
            <w:tcW w:type="dxa" w:w="15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SCORE-01-v2
(Scoring Model)</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Five-dimension model with explicit thresholds: D1≥4, D2≥3, D3≥3 for Tier 1. Hard-stop conditions documented (D3≤1 → Tier 2 ceiling). UECC precondition (≥85% displacement, est. 2028–2030) explicitly stated. Confidence modifiers (×1.00 to ×0.45) documented.</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c>
          <w:tcPr>
            <w:tcW w:type="dxa" w:w="46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Assessed as likely functioning as a compliance-avoidance calibration tool: identifies exactly which scoring dimensions must be weakened to move a node from Tier 1 to Tier 2 (reduce D3 to ≤1, reduce D2 to ≤1, or eliminate D1 predicate). The UECC precondition documentation discloses that the highest-leverage enforcement action is explicitly assessed as premature until 2028–2030.</w:t>
            </w:r>
          </w:p>
        </w:tc>
      </w:tr>
      <w:tr>
        <w:tc>
          <w:tcPr>
            <w:tcW w:type="dxa" w:w="15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SENI_Analytical_SGv3
(FIN-01 / EVA-01 / SEQ-01 / CONF-01 / RST-01)</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SEQ-01 resource-constrained sequencing table ranks Isotope JSC SDN as Rank 1 single-action priority. EVA-01 documents UAE FTZ, Turkish banking, and CIPS/CNY evasion architecture. CONF-01 names four C3–C4 ANALYTICALLY INFERRED assertions with explicit exclusion notes.</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c>
          <w:tcPr>
            <w:tcW w:type="dxa" w:w="46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Assessed as likely providing adversary evasion planners with the U.S. analyst's prioritized enforcement sequence (Isotope JSC first, ChMP third, UECC preparation fourth) and explicit characterization of evasion infrastructure as 'leading' rather than dominant — signaling where quantitative uncertainty exists. CONF-01's four excluded assertions identify which proliferation hypotheses (DPRK Li-6, BAM routing, Sarov transfer) lack evidentiary grounding, endorsing continued use of opaque structures in those channels.</w:t>
            </w:r>
          </w:p>
        </w:tc>
      </w:tr>
      <w:tr>
        <w:tc>
          <w:tcPr>
            <w:tcW w:type="dxa" w:w="15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Layer 3
(SYS-01 / CHN-01 / AUTH-01)</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SYS-01 documents 30/90/180-day cascade timelines for UECC, ChMP, and Isotope JSC disruption. CHN-01 documents seven-tier escalation ladder with Tier 7 (G-SIB SDN) explicitly off-the-table. AUTH-01 documents OFAC evidentiary thresholds for Isotope JSC designation package.</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c>
          <w:tcPr>
            <w:tcW w:type="dxa" w:w="46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Assessed as likely providing three distinct adversary utility vectors: (1) SYS-01 cascade timelines inform Russian energy security planning for sanctions resilience; (2) CHN-01 explicitly documents the highest-leverage non-systemic option (Tier 3 CNNC subsidiary) and the conditions under which G-SIB escalation is assessed as off-the-table — useful to Chinese financial institutions calibrating exposure; (3) AUTH-01 Isotope JSC designation package assessment discloses the evidentiary elements OFAC would need to assemble, allowing pre-emptive counter-preparation.</w:t>
            </w:r>
          </w:p>
        </w:tc>
      </w:tr>
      <w:tr>
        <w:tc>
          <w:tcPr>
            <w:tcW w:type="dxa" w:w="15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ARCH-01
(Series Architecture)</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Documents three-layer analytical architecture, evidentiary standards by layer, inter-layer dependency flow. Audience readiness matrix with OFAC/DOE/IC limitations explicitly stated.</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w:t>
            </w:r>
          </w:p>
        </w:tc>
        <w:tc>
          <w:tcPr>
            <w:tcW w:type="dxa" w:w="46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Assessed as likely providing a structured guide to what the SENI analytical system can and cannot establish from open sources. The audience readiness matrix explicitly states where OSINT ends and classified validation begins — a map of analytical blind spots. The DOE/NNSA 'classified energy data required' notation signals which constraint is assessed as binding.</w:t>
            </w:r>
          </w:p>
        </w:tc>
      </w:tr>
      <w:tr>
        <w:tc>
          <w:tcPr>
            <w:tcW w:type="dxa" w:w="15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EXEC-01
(Executive Synthesis)</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Synthesizes Tier 1 priorities (N43, N33, N34), UECC precondition, D2=[4+] pathway, China financial framing, and resource-constrained sequencing in a single two-page document.</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w:t>
            </w:r>
          </w:p>
        </w:tc>
        <w:tc>
          <w:tcPr>
            <w:tcW w:type="dxa" w:w="46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Assessed as the highest-accessibility single-document summary of the entire enforcement architecture. A senior foreign intelligence official requiring a rapid brief on U.S. OSINT-accessible enforcement priorities for the Russian nuclear fuel cycle can extract the complete operational picture from EXEC-01 alone without reading the nine underlying documents. This is not a new exposure — it is the deliberate design of the executive synthesis — but it concentrates risk.</w:t>
            </w:r>
          </w:p>
        </w:tc>
      </w:tr>
      <w:tr>
        <w:tc>
          <w:tcPr>
            <w:tcW w:type="dxa" w:w="15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Vol 1–3 Node Profiles
(N27–N47)</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Gap registers per node document specific evidentiary gaps and upgrade paths. ZATО safeguards confidence (LOW-MODERATE) disclosed. Vanino monitoring trigger condition defined. Manzhouli jurisdictional boundary explicitly documented.</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w:t>
            </w:r>
          </w:p>
        </w:tc>
        <w:tc>
          <w:tcPr>
            <w:tcW w:type="dxa" w:w="46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Assessed as likely providing adversary OSINT collectors with a structured prioritization of which nodes have remaining analytical uncertainty (endorsing continued opacity) and which are assessed as well-documented (warranting evasion attention). The UECC SPV gap register explicitly acknowledges that Swiss Handelsregister and UAE registry searches are the upgrade path — signaling to those entities that current opacity is analytically effective.</w:t>
            </w:r>
          </w:p>
        </w:tc>
      </w:tr>
      <w:tr>
        <w:tc>
          <w:tcPr>
            <w:tcW w:type="dxa" w:w="15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hAnsi="Arial"/>
                <w:b/>
                <w:bCs/>
                <w:color w:val="1B2A4A"/>
                <w:sz w:val="18"/>
                <w:szCs w:val="18"/>
              </w:rPr>
              <w:t xml:space="preserve">SENI v5.2 Register
(Master Node Register)</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hAnsi="Arial"/>
                <w:color w:val="000000"/>
                <w:sz w:val="18"/>
                <w:szCs w:val="18"/>
              </w:rPr>
              <w:t xml:space="preserve">Single-file 372-node tabular register. Nuclear section concentrates FPA chain, D2 gap, ECCN citations in one table. SWIFT/FinCEN gap types distributed across 15 sections. Machine-parseable in single file parse.</w:t>
            </w:r>
          </w:p>
        </w:tc>
        <w:tc>
          <w:tcPr>
            <w:tcW w:type="dxa" w:w="800"/>
            <w:tcBorders>
              <w:top w:val="single" w:color="D0D4DA" w:sz="4"/>
              <w:left w:val="single" w:color="D0D4DA" w:sz="4"/>
              <w:bottom w:val="single" w:color="D0D4DA" w:sz="4"/>
              <w:right w:val="single" w:color="D0D4DA" w:sz="4"/>
            </w:tcBorders>
            <w:shd w:fill="FEF3E2" w:val="clear"/>
            <w:tcMar>
              <w:top w:type="dxa" w:w="80"/>
              <w:left w:type="dxa" w:w="120"/>
              <w:bottom w:type="dxa" w:w="80"/>
              <w:right w:type="dxa" w:w="120"/>
            </w:tcMar>
          </w:tcPr>
          <w:p>
            <w:pPr>
              <w:spacing w:before="0" w:after="120" w:line="276"/>
              <w:jc w:val="center"/>
            </w:pPr>
            <w:r>
              <w:rPr>
                <w:rFonts w:ascii="Arial" w:cs="Arial" w:hAnsi="Arial"/>
                <w:b/>
                <w:bCs/>
                <w:color w:val="D4880A"/>
                <w:sz w:val="18"/>
                <w:szCs w:val="18"/>
              </w:rPr>
              <w:t xml:space="preserve">HIGH</w:t>
            </w:r>
          </w:p>
        </w:tc>
        <w:tc>
          <w:tcPr>
            <w:tcW w:type="dxa" w:w="48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hAnsi="Arial"/>
                <w:color w:val="000000"/>
                <w:sz w:val="18"/>
                <w:szCs w:val="18"/>
              </w:rPr>
              <w:t xml:space="preserve">Assessed as likely providing a pre-aggregated enforcement targeting register across all WP-2026 analytical domains in a single document, reducing multi-document synthesis to single-file extraction. Incremental over sub-series documents for adversaries who have not collected the full corpus; moderate increment for adversaries who have.</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Part II — New CI Exposure Items: FPA-02 and GL 115C Correction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2.1 FPA-02 — Named EU Utility Counterparties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FPA-02 names four EU nuclear utility operators — ČEZ (Czech Republic), Fortum (Finland), MVM Paks (Hungary), and Slovenské elektrárne (Slovakia) — as documented counterparties in TVEL fuel assembly purchase relationships, with Bellona-sourced financial exposure estimates (Hungary approximately €124M/year; Slovakia approximately €200M/year in 2023) and diversification timeline assessments by operator [TIER 1 — operator press releases, Westinghouse/Framatome press releases; TIER 2 — Bellona March 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FPA-02 is assessed as likely providing two distinct adversary utility vectors. For Russian enforcement-evasion planners: the document maps which EU utilities are transitioning away from TVEL (ČEZ, Slovenské elektrárne, Bulgaria) versus remaining dependent (MVM Paks), on what timeline, and with what political risk factors (Fico government in Slovakia, Orbán government in Hungary). For Russian diplomatic planners: the document identifies MVM Paks and Paks II as the highest-leverage EU political constraint on ChMP enforcement — information useful for reinforcing those relationships. The GL 115C renewal analysis is additionally useful in characterizing the enforcement trigger as policy-contingent rather than date-certain.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counterparty identification in FPA-02 is derived from Tier 1 public sources — Westinghouse and Framatome press releases, utility statements, Bellona analysis of Eurostat/UN Comtrade data. None of this information is uniquely disclosed by FPA-02; it is available through independent OSINT collection. The CI utility of FPA-02 is in the aggregation and structured analysis, not the raw data. Available open-source reporting on Russian nuclear diplomacy is consistent with the judgment that MVM Paks dependency is already well-understood by Russian planners [LOW-MODERATE CONFIDENCE on specific FPA-02 utility beyond independent collection].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2.2 GL 115C Corpus Correction — Policy Carve-Out Analysis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GL 115C corpus correction documents three consecutive OFAC renewals of the civil nuclear carve-out (GL 115 original → GL 115A January 2025 → GL 115B June 2025 → GL 115C December 2025, valid through June 18, 2026). The SENI corpus analysis characterizes this pattern as evidence of a 'deliberate policy carve-out rather than a transitional measure' and reframes the enforcement trigger as 'non-renewal requires a policy decision, not merely the passage of time' [TIER 1 — OFAC GL 115C text, December 17, 2025].</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GL 115C analysis is assessed as providing moderate utility to Russian entities and EU operators currently conducting authorized civil nuclear transactions. The characterization of three renewals as indicative of deliberate policy posture — rather than successive temporary authorizations — supports a judgment by covered entities that continued operations are unlikely to face enforcement disruption on a near-term horizon. This is a policy inference drawn from public OFAC documents; it is assessable independently by any sophisticated legal team. The CI utility is in the analytical framing, which provides a credibility-reinforced characterization of enforcement probability that a foreign entity might cite in internal compliance planning.</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GL 115C is a public document. Its renewal history is in the public record. The inference that three renewals signal deliberate policy posture is an analytical judgment, not a disclosure of non-public information. The CI utility of this section is bounded by the fact that any competent Russian or EU legal team would reach the same conclusion independently. [LOW-MODERATE CONFIDENCE on utility beyond independent legal analysis].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280" w:after="100"/>
      </w:pPr>
      <w:r>
        <w:rPr>
          <w:rFonts w:ascii="Arial" w:cs="Arial" w:eastAsia="Arial" w:hAnsi="Arial"/>
          <w:b/>
          <w:bCs/>
          <w:caps w:val="false"/>
          <w:color w:val="1B2A4A"/>
          <w:sz w:val="24"/>
          <w:szCs w:val="24"/>
        </w:rPr>
        <w:t xml:space="preserve">2.3 SENI v5.2 Master Register — Tabular Format CI Exposure</w:t>
      </w:r>
    </w:p>
    <w:p>
      <w:pPr>
        <w:spacing w:before="60" w:after="100" w:line="276"/>
        <w:jc w:val="left"/>
      </w:pPr>
      <w:r>
        <w:rPr>
          <w:rFonts w:ascii="Arial" w:cs="Arial" w:eastAsia="Arial" w:hAnsi="Arial"/>
          <w:i w:val="false"/>
          <w:iCs w:val="false"/>
          <w:caps w:val="false"/>
          <w:color w:val="000000"/>
          <w:sz w:val="20"/>
          <w:szCs w:val="20"/>
        </w:rPr>
        <w:t xml:space="preserve">The v5.2 master register (WP-2026-SENI-01-v5.2-final.docx) is a distinct CI exposure item from the sub-series documents assessed in Part I. It is a single 372-node tabular document with a unified six-column schema — NODE / LOCATION / OWNER / CATEGORY / STATUS / ENFORCEMENT THEORY AND ACTION — covering all 15 analytical domains in one file. Three CI exposure properties are specific to the register format and not assessed in the sub-series document analysis above.</w:t>
      </w:r>
    </w:p>
    <w:p>
      <w:pPr>
        <w:spacing w:before="200" w:after="80"/>
      </w:pPr>
      <w:r>
        <w:rPr>
          <w:rFonts w:ascii="Arial" w:cs="Arial" w:eastAsia="Arial" w:hAnsi="Arial"/>
          <w:b/>
          <w:bCs/>
          <w:caps w:val="false"/>
          <w:color w:val="4A5568"/>
          <w:sz w:val="22"/>
          <w:szCs w:val="22"/>
        </w:rPr>
        <w:t xml:space="preserve">Register-Specific Exposure Vector 1 — Nuclear Section Concentration</w:t>
      </w:r>
    </w:p>
    <w:p>
      <w:pPr>
        <w:spacing w:before="60" w:after="100" w:line="276"/>
        <w:jc w:val="left"/>
      </w:pPr>
      <w:r>
        <w:rPr>
          <w:rFonts w:ascii="Arial" w:cs="Arial" w:eastAsia="Arial" w:hAnsi="Arial"/>
          <w:i w:val="false"/>
          <w:iCs w:val="false"/>
          <w:caps w:val="false"/>
          <w:color w:val="000000"/>
          <w:sz w:val="20"/>
          <w:szCs w:val="20"/>
        </w:rPr>
        <w:t xml:space="preserve">Section III (Russian Nuclear Fuel Cycle, 32 rows) of the register concentrates in a single table the Wells Fargo chain notation, D2=[4+] gap disclosure, FPA-01/FPA-02 counterparty names, ECCN citations (1C233 Li-6, 1C236 Cf-252), ZATO assessments, GL 115C renewal analysis, and MVM Paks financial exposure figure. The sub-series documents (FPA-01-v3, FPA-02, SCORE-01-v2) distribute this content across separate documents requiring analytical synthesis to aggregate. The register presents the same content pre-aggregated in a single table, reducing adversary collection effort from multi-document synthesis to single-document extraction. The CI utility increment over the sub-series documents individually is moderate; the CI utility increment over an adversary who has not collected the sub-series documents is assessed as high. [MODERATE CONFIDENCE, ANALYTICALLY INFERRED]</w:t>
      </w:r>
    </w:p>
    <w:p>
      <w:pPr>
        <w:spacing w:before="200" w:after="80"/>
      </w:pPr>
      <w:r>
        <w:rPr>
          <w:rFonts w:ascii="Arial" w:cs="Arial" w:eastAsia="Arial" w:hAnsi="Arial"/>
          <w:b/>
          <w:bCs/>
          <w:caps w:val="false"/>
          <w:color w:val="4A5568"/>
          <w:sz w:val="22"/>
          <w:szCs w:val="22"/>
        </w:rPr>
        <w:t xml:space="preserve">Register-Specific Exposure Vector 2 — SWIFT and FinCEN Gap Distribution</w:t>
      </w:r>
    </w:p>
    <w:p>
      <w:pPr>
        <w:spacing w:before="60" w:after="100" w:line="276"/>
        <w:jc w:val="left"/>
      </w:pPr>
      <w:r>
        <w:rPr>
          <w:rFonts w:ascii="Arial" w:cs="Arial" w:eastAsia="Arial" w:hAnsi="Arial"/>
          <w:i w:val="false"/>
          <w:iCs w:val="false"/>
          <w:caps w:val="false"/>
          <w:color w:val="000000"/>
          <w:sz w:val="20"/>
          <w:szCs w:val="20"/>
        </w:rPr>
        <w:t xml:space="preserve">SWIFT and FinCEN appear as gap-closing evidence types across multiple sections of the register: 2 SWIFT citations in Section I (Russia-China Infrastructure), 4 FinCEN citations in Section I, 1 FinCEN in Section III (Nuclear), and 7 FinCEN citations in Section IV (Terrorist Finance). SENI-CI-01 originally flagged this disclosure in FPA-01-v3 for the Isotope JSC chain specifically. In the register, the same disclosure pattern is distributed across multiple enforcement domains — meaning an adversary reading the register obtains a comprehensive map of which domains the WP-2026 framework assesses as having transaction-confirmable financial intelligence gaps, not just the nuclear isotope chain. This is a broader gap disclosure than the FPA-01-v3 assessment captured. [MODERATE CONFIDENCE, ANALYTICALLY INFERRED]</w:t>
      </w:r>
    </w:p>
    <w:p>
      <w:pPr>
        <w:spacing w:before="200" w:after="80"/>
      </w:pPr>
      <w:r>
        <w:rPr>
          <w:rFonts w:ascii="Arial" w:cs="Arial" w:eastAsia="Arial" w:hAnsi="Arial"/>
          <w:b/>
          <w:bCs/>
          <w:caps w:val="false"/>
          <w:color w:val="4A5568"/>
          <w:sz w:val="22"/>
          <w:szCs w:val="22"/>
        </w:rPr>
        <w:t xml:space="preserve">Register-Specific Exposure Vector 3 — Single-File Tabular Extractability</w:t>
      </w:r>
    </w:p>
    <w:p>
      <w:pPr>
        <w:spacing w:before="60" w:after="100" w:line="276"/>
        <w:jc w:val="left"/>
      </w:pPr>
      <w:r>
        <w:rPr>
          <w:rFonts w:ascii="Arial" w:cs="Arial" w:eastAsia="Arial" w:hAnsi="Arial"/>
          <w:i w:val="false"/>
          <w:iCs w:val="false"/>
          <w:caps w:val="false"/>
          <w:color w:val="000000"/>
          <w:sz w:val="20"/>
          <w:szCs w:val="20"/>
        </w:rPr>
        <w:t xml:space="preserve">The register is a single .docx file containing all 372 nodes in a structured six-column table. Unlike the interactive map (assessed in WP-2026-MAP-CI-01), the register requires no rendering environment — the table is directly readable by any document processing tool. Python-docx, Apache POI, or equivalent can extract all 372 node entries with full enforcement theory in a single file parse. This is analytically equivalent to the MAP-CI-01 machine-readable database finding (rated CRITICAL) but applied to the document format. The register is the document-format analogue of the map's embedded JSON database. Both are complete, machine-parseable enforcement registers. [HIGH CONFIDENCE, DOCUMENTED]</w:t>
      </w:r>
    </w:p>
    <w:p>
      <w:pPr>
        <w:pBdr>
          <w:left w:val="single" w:color="1A5C2E" w:sz="16" w:space="8"/>
        </w:pBdr>
        <w:shd w:fill="EAF4EC" w:val="clear"/>
        <w:spacing w:before="160" w:after="0"/>
        <w:ind w:left="240"/>
      </w:pPr>
      <w:r>
        <w:rPr>
          <w:rFonts w:ascii="Arial" w:cs="Arial" w:eastAsia="Arial" w:hAnsi="Arial"/>
          <w:b/>
          <w:bCs/>
          <w:caps w:val="false"/>
          <w:color w:val="1A5C2E"/>
          <w:sz w:val="18"/>
          <w:szCs w:val="18"/>
        </w:rPr>
        <w:t xml:space="preserve">DOCUMENTED STRUCTURAL CONSTRAINT</w:t>
      </w:r>
    </w:p>
    <w:p>
      <w:pPr>
        <w:pBdr>
          <w:left w:val="single" w:color="1A5C2E" w:sz="16" w:space="8"/>
        </w:pBdr>
        <w:shd w:fill="EAF4EC" w:val="clear"/>
        <w:spacing w:before="40" w:after="160"/>
        <w:ind w:left="240"/>
      </w:pPr>
      <w:r>
        <w:rPr>
          <w:rFonts w:ascii="Arial" w:cs="Arial" w:eastAsia="Arial" w:hAnsi="Arial"/>
          <w:i w:val="false"/>
          <w:iCs w:val="false"/>
          <w:caps w:val="false"/>
          <w:color w:val="000000"/>
          <w:sz w:val="20"/>
          <w:szCs w:val="20"/>
        </w:rPr>
        <w:t xml:space="preserve">The register format is the correct design decision for its function as a reference document for enforcement practitioners and academic reviewers. The tabular single-file format is what makes it useful as a portfolio centerpiece and SSRN submission. Retraction carries no CI benefit and significant academic cost — the sub-series documents already in the public repository provide the same analytical content. The register concentrates and organizes content that is already exposed; it does not create new exposure of previously non-public information. Legal exposure: identical to the sub-series documents — very low. All content derived from public sources. First Amendment protections apply.</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Part III — Adversary-Specific Utility Assessment</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3.1 Russia — SVR / FSB Financial Intelligence Directorate</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Russia is assessed as deriving the highest aggregate utility from the SENI sub-series of any assessed adversary. [MODERATE CONFIDENCE, ANALYTICALLY INFERRED]</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Primary utility vectors: FPA-01-v3 provides the most complete open-source map of Western financial exposure for Russian nuclear isotope exports, including the specific named bank (Wells Fargo), the named chain (NIIAR → Isotope JSC → Nordion → Lantheus), and the explicit inference gap separating OSINT from transaction-confirmed intelligence. The D2=[4+] notation is operationally specific: it tells a Russian financial intelligence analyst exactly what evidence type (SWIFT records or FinCEN data) would close the gap — and therefore what type of transaction structuring would defeat the designation package.</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SCORE-01-v2 provides explicit thresholds for tier classification, including the hard-stop conditions (D3≤1, D2≤1, D1=0) that would move a node from Tier 1 to Tier 2. This is assessable by Russian enforcement-evasion planners as a guide to which nodes warrant protective action (reduce D3 exposure, increase D2 ambiguity, weaken D1 legal predicate) versus which are already protected by structural constraints (UECC's D3=1 hard-stop is inherent, not manufactured).</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SYS-01 cascade modeling documents the 30/90/180-day disruption timelines for UECC, ChMP, and Isotope JSC. For Russian energy security planning, the UECC modeling is most useful: it documents that Western alternative capacity cannot absorb UECC displacement within a single fuel cycle, validates the 2028–2030 precondition window, and identifies the specific capacity milestones (Urenco/Orano/Centrus ≥85% of UECC volume) that define the enforcement constraint. [MODERATE CONFIDENCE, ANALYTICALLY INFERRED]</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3.2 People's Republic of China — MSS / MOFCOM</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PRC utility from the SENI sub-series is assessed as secondary to Russia but significant in one specific vector. [MODERATE CONFIDENCE, ANALYTICALLY INFERRED]</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CHN-01's seven-tier escalation ladder explicitly documents that G-SIB SDN designation (Tier 7) is off-the-table. The practical range (Tiers 1–4) and the specific highest-leverage non-systemic option (Tier 3 — targeted CNNC subsidiary secondary sanctions) are documented with the rationale for why systemic escalation is assessed as disproportionate. Chinese financial institutions assessing their exposure to secondary sanctions risk in Russian nuclear transactions have a structured map of the options the SENI framework identifies as within the enforcement range versus beyond it.</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FIN-01's characterization of ICBC and Bank of China as 'major clearing institutions' for CNNC-TVEL transactions — with the explicit caveat that this is not a dominance claim and lacks quantitative backing — discloses the specific evidentiary limitation of the financial assessment. A Chinese banking compliance team reading FIN-01 understands that U.S. OSINT methodology cannot confirm transaction volume or market share for Chinese state bank clearing of TVEL transactions, which supports continued operations at current opacity levels. The public record does not establish direct evidence of PRC reliance on SENI-derived analytical models; this utility assessment is analytically inferred from the content and the known sophistication of MSS OSINT collection programs. [MODERATE CONFIDENCE, ANALYTICALLY INFERRED]</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3.3 Iran — MOIS / IRGC Intelligence</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Iranian utility from the SENI sub-series is assessed as low. The SENI series focuses on the Russian nuclear fuel cycle commercial supply chain — enrichment, fabrication, transport, reprocessing — rather than on Iranian nuclear program assessment or IRGC enforcement. RST-01's recipient state characterization of Iran is a demand-side node assessment, not a targeting analysis of Iranian program elements. The low confidence DPRK Li-6 nexus notation in NCCP (N33) and RST-01 is the only section assessed as potentially useful to Iranian planners — it discloses that the DPRK demand-side assessment is analytically inferred without named intermediaries, which is consistent with continued opacity being analytically effective in that channel. [LOW CONFIDENCE, ANALYTICALLY INFERRED]</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Part IV — Aggregation Risk: SENI Sub-Series as Integrated System</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ten-document SENI sub-series functions as an integrated enforcement decision architecture. The CI risk is not located in any single document — it is located in the system.</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AGGREGATION VECTOR</w:t>
            </w:r>
          </w:p>
        </w:tc>
        <w:tc>
          <w:tcPr>
            <w:tcW w:type="dxa" w:w="7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ASSESSMENT</w:t>
            </w:r>
          </w:p>
        </w:tc>
      </w:tr>
      <w:tr>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Scoring model + FPA = designation package map</w:t>
            </w:r>
          </w:p>
        </w:tc>
        <w:tc>
          <w:tcPr>
            <w:tcW w:type="dxa" w:w="7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SCORE-01-v2 establishes the evidentiary thresholds required for Tier 1 classification. FPA-01-v3 documents the specific evidence assembled for the highest-scoring node (Isotope JSC, ADJ 4.75). Together, they provide a complete map of what a designation package requires and how close the current OSINT evidence comes to meeting that standard. A Russian counterpart reading both documents understands exactly what gap (SWIFT/FinCEN data) separates current OSINT from actionable designation.</w:t>
            </w:r>
          </w:p>
        </w:tc>
      </w:tr>
      <w:tr>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profiles + gap registers = opacity endorsement</w:t>
            </w:r>
          </w:p>
        </w:tc>
        <w:tc>
          <w:tcPr>
            <w:tcW w:type="dxa" w:w="7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47 node profiles include gap registers that explicitly document which evidentiary gaps remain unresolved and what data would close them. For nodes with persistent gaps (UECC SPV network, NCCP DPRK nexus, Bochvar financial insulation), the gap register functions as an endorsement that current opacity is analytically effective — the document states what OSINT cannot reach, which is operationally equivalent to stating where evasion is working.</w:t>
            </w:r>
          </w:p>
        </w:tc>
      </w:tr>
      <w:tr>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SYS-01 cascade + UECC precondition = enforcement window calendar</w:t>
            </w:r>
          </w:p>
        </w:tc>
        <w:tc>
          <w:tcPr>
            <w:tcW w:type="dxa" w:w="7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SYS-01's 30/90/180-day cascade modeling combined with the UECC 2028–2030 precondition creates an enforcement window calendar: which nodes are immediately actionable, which are deferred and on what timeline, and what Western capacity milestones define the enforcement constraint. Russian energy security planners have a structured timeline of the enforcement architecture's own schedule.</w:t>
            </w:r>
          </w:p>
        </w:tc>
      </w:tr>
      <w:tr>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CHN-01 + FPA-02 = China financial exposure map</w:t>
            </w:r>
          </w:p>
        </w:tc>
        <w:tc>
          <w:tcPr>
            <w:tcW w:type="dxa" w:w="7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CHN-01 documents the G-SIB off-the-table determination and the Tier 3 CNNC subsidiary option. FPA-02 documents MVM Paks and Fortum as the highest-dependency EU operators still in TVEL contracts. Together they map the Chinese financial enforcement constraint and the EU utility political constraint — the two principal factors limiting the scope of secondary sanctions in the nuclear domain.</w:t>
            </w:r>
          </w:p>
        </w:tc>
      </w:tr>
      <w:tr>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AUTH-01 + SCORE-01 = designation engineering guide</w:t>
            </w:r>
          </w:p>
        </w:tc>
        <w:tc>
          <w:tcPr>
            <w:tcW w:type="dxa" w:w="7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AUTH-01's OFAC evidentiary threshold analysis combined with SCORE-01's D1 score validation creates a complete guide to what legal predicate is required for designation and how the current evidence satisfies or falls short of that predicate for each node. A Russian corporate law team reading AUTH-01 and SCORE-01 together has the complete picture of which nodes are designation-ready and what structural changes would remove them from that category.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Part V — Intelligence Gap Disclosure Assessment</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Every acknowledged uncertainty in the SENI corpus constitutes a potential intelligence asset for adversary services. The most significant disclosed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DOCUMENT</w:t>
            </w:r>
          </w:p>
        </w:tc>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DISCLOSED GAP</w:t>
            </w:r>
          </w:p>
        </w:tc>
        <w:tc>
          <w:tcPr>
            <w:tcW w:type="dxa" w:w="5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ADVERSARY UTILITY</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FPA-01-v3</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D2=[4+] notation: Wells Fargo named as banking institution; clearing pathway for Mo-99 payments is INFERRED, not transaction-confirmed. D2=[5-FININT] requires SWIFT/FinCEN data.</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Discloses the specific evidence type that would confirm the designation package — and therefore the specific transaction structuring that would defeat it. Rerouting Mo-99 payments through a non-Wells Fargo institution or through a CIPS channel would break the identified chain.</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FPA-02</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D2=[4] ceiling: named counterparties confirmed; no clearing bank identified for TVEL fuel assembly payments from EU utilities.</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Confirms that EU utility → TVEL payment routing is analytically opaque at the bank level. Continued use of non-public or third-country clearing channels is endorsed as analytically effective.</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UECC gap register (Vol 1, N28)</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SPV network in Geneva/Dubai/Istanbul asserted but not evidenced; Swiss Handelsregister and UAE registry named as upgrade paths.</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Confirms that current SPV opacity is analytically effective — OSINT methodology cannot reach the specific entities. Names the specific registries that would close the gap, allowing proactive monitoring of those data sources for exposure.</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CONF-01 excluded assertions table</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DPRK Li-6 procurement (C3–C4), Sarov→DPRK transfer (C4), BAM routing (C3), BOR-60 data sharing (C3) — all ANALYTICALLY INFERRED with explicit exclusion from enforcement predicates.</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Signals that these four proliferation hypotheses lack evidentiary grounding in open-source evidence. Endorses continued opacity in those channels as analytically effective. The explicit statement 'do not cite as established DPRK procurement fact' signals to DPRK intermediaries that the nexus is not confirmable from open sources.</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NCCP (N33) gap register</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DPRK Li-6 procurement nexus LOW CONFIDENCE. UN Panel DPRK annex identified as upgrade path.</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Confirms that the primary confidence constraint on NCCP designation is the DPRK nexus. Removal or restructuring of the DPRK procurement channel would degrade the D1 predicate below the threshold required for the Li-6 proliferation predicate.</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Layer 3 / SYS-01 modeling limitations</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UECC macro vs. micro utility exposure: utility-specific contract positions not publicly disclosed. ChMP zirconium substitution execution risk not probabilistically modeled.</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Confirms two specific analytical blind spots in the cascade modeling. Russian energy security planners know that utility-specific contract positions are not visible to OSINT methodology and that zirconium qualification execution risk is unmodeled — both are protective structural features from a Russian perspective.</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Part VI — Legal Exposure Assessment</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OVERALL LEGAL EXPOSURE ASSESSMENT: VERY LOW across all frameworks. [HIGH CONFIDENCE, Documented Legal Basis] The legal analysis in WP-2026-CI-Assessment v3.0 Part IV applies to the SENI sub-series without modification. All SENI content is derived from public sources: OFAC SDN list, SEC filings (EDGAR), press releases, World Nuclear Association profiles, NRC/DOE public disclosures, UN Panel of Experts reports, and academic publications. No classified information is present. The named financial institutions (Wells Fargo, Nordion, Lantheus) are identified from SEC S-1 registration statements that are public documents required by U.S. securities law. The named EU utilities (ČEZ, Fortum, MVM Paks, Slovenské elektrárne) are public entities whose fuel supply relationships are disclosed in their own press releases and regulatory filings.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LEGAL VECTOR</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ASSESSMENT</w:t>
            </w:r>
          </w:p>
        </w:tc>
        <w:tc>
          <w:tcPr>
            <w:tcW w:type="dxa" w:w="5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SENI-SPECIFIC NOTES</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Espionage Act (18 U.S.C. § 793)</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 — Not Applicable</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Wells Fargo identification is from SEC S-1 (EDGAR CIK 0001521036) — a public securities filing. EU utility identification is from operator press releases. OFAC GL documentation is from ofac.treasury.gov. No NDI element is satisfied. Available precedent consistent with non-applicability (Morison; Drake).</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AECA / ITAR (22 C.F.R. Parts 120–130)</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 — Not Applicable</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SENI addresses enforcement architecture and financial pathway analysis, not weapons design or production parameters. ECCN citations (1C236 for Cf-252, 1C233 for Li-6) reference publicly available Commerce Control List entries, not controlled technical parameters.</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EAR (15 C.F.R. Parts 730–774)</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 — Not Applicable</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Policy analysis of export control frameworks (BIS ECCN citations, Entity List methodology) is not EAR-controlled technology under § 772.1. The SENI series describes enforcement authority, not controlled item specifications.</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First Amendment</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PROTECTIVE — Applies</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SENI series constitutes protected academic and policy commentary on matters of public concern — specifically U.S. sanctions enforcement law and nuclear nonproliferation policy. Snyder v. Phelps protections apply at the highest level.</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Security Clearance / OPSEC</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Author holds no current clearance. All SENI sources are public. Proactive disclosure of the series and this CI assessment in SF-86 and adjudication proceedings is recommended, consistent with the characterization in CI-Assessment v3.0 Section 4.6.</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Part VII — Consolidated Risk Matrix</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3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RISK DIMENSION</w:t>
            </w:r>
          </w:p>
        </w:tc>
        <w:tc>
          <w:tcPr>
            <w:tcW w:type="dxa" w:w="2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ASSESSMENT</w:t>
            </w:r>
          </w:p>
        </w:tc>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RATING</w:t>
            </w:r>
          </w:p>
        </w:tc>
        <w:tc>
          <w:tcPr>
            <w:tcW w:type="dxa" w:w="4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CONFIDENCE</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FPA-01-v3 Financial Nexus Disclosure</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Names Wells Fargo via SEC filing; traces complete five-node chain; documents D2=[4+] inference gap explicitly. Provides Russian financial intelligence with complete OSINT map of Western nuclear isotope payment chain and specific gap that would need closure for designation.</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CRITICAL</w:t>
            </w:r>
          </w:p>
        </w:tc>
        <w:tc>
          <w:tcPr>
            <w:tcW w:type="dxa" w:w="4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MODERATE-HIGH</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SCORE-01-v2 Threshold Engineering</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Five-dimension model with explicit Tier 1 requirements (D1≥4, D2≥3, D3≥3) and hard-stop conditions. Functions as compliance-avoidance calibration tool for Russian entities seeking to move nodes from Tier 1 to Tier 2.</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c>
          <w:tcPr>
            <w:tcW w:type="dxa" w:w="4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FPA-02 EU Utility Counterparty Map</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Names four EU utilities with dependency assessment, financial exposure values, and diversification timelines. Maps coalition political vulnerabilities (MVM Paks/Hungary, Fico/Slovakia) useful for Russian diplomatic reinforcement planning.</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c>
          <w:tcPr>
            <w:tcW w:type="dxa" w:w="4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Layer 3 Strategic Annexes</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SYS-01 enforcement window calendar; CHN-01 G-SIB off-the-table determination; AUTH-01 designation package evidentiary assessment. Three distinct adversary utility vectors across energy security, Chinese financial exposure, and designation engineering.</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c>
          <w:tcPr>
            <w:tcW w:type="dxa" w:w="4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GL 115C Policy Carve-Out Analysis</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Three-renewal characterization as deliberate policy posture rather than transitional authorization. Supports covered entity judgment that enforcement disruption is policy-contingent, not date-certain.</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w:t>
            </w:r>
          </w:p>
        </w:tc>
        <w:tc>
          <w:tcPr>
            <w:tcW w:type="dxa" w:w="4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Aggregation Risk (Series Level)</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Ten-document integrated system functions as complete enforcement decision architecture. Scoring + FPA = designation package map; node profiles + gap registers = opacity endorsement; SYS-01 + UECC precondition = enforcement window calendar.</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CRITICAL</w:t>
            </w:r>
          </w:p>
        </w:tc>
        <w:tc>
          <w:tcPr>
            <w:tcW w:type="dxa" w:w="4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Gap Disclosure (CONF-01 + Gap Registers)</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Acknowledged gaps in DPRK Li-6 nexus, SPV network, UECC contract positions, and ChMP substitution execution risk collectively endorse continued opacity in those channels as analytically effective.</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c>
          <w:tcPr>
            <w:tcW w:type="dxa" w:w="4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Legal Exposure</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Very low. All content from public sources. NDI element not satisfied. First Amendment protections apply. No classified information present.</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w:t>
            </w:r>
          </w:p>
        </w:tc>
        <w:tc>
          <w:tcPr>
            <w:tcW w:type="dxa" w:w="4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Part VIII — Recommendations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DOCUMENTED CONSTRAINT — WHAT CANNOT BE REMEDIATED: The SENI corpus is published and should be treated as already collected by adversary OSINT programs. Retraction carries no CI benefit and significant academic cost. The recommendations below address future series architecture, not remediation of existing content.</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8.1 For Future FPA Development</w:t>
      </w:r>
    </w:p>
    <w:p>
      <w:pPr>
        <w:spacing w:before="40" w:after="120" w:line="276"/>
        <w:jc w:val="left"/>
      </w:pPr>
      <w:r>
        <w:rPr>
          <w:rFonts w:ascii="Arial" w:cs="Arial" w:eastAsia="Arial" w:hAnsi="Arial"/>
          <w:b w:val="false"/>
          <w:bCs w:val="false"/>
          <w:i w:val="false"/>
          <w:iCs w:val="false"/>
          <w:caps w:val="false"/>
          <w:color w:val="000000"/>
          <w:sz w:val="22"/>
          <w:szCs w:val="22"/>
        </w:rPr>
        <w:t xml:space="preserve">If additional FPA documents are produced (FPA-03 onward), consider separating the evidentiary standard documentation from the specific named entity disclosure. The D2=[4+] notation in FPA-01-v3 is analytically correct and serves academic purposes — but the explicit statement of what evidence type would close the gap (SWIFT/FinCEN) may inform adversary understanding of what transaction restructuring would reduce designation risk. Future FPA documents could state the D2 ceiling without specifying the gap-closing evidence type.</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8.2 For Future SCORE Development</w:t>
      </w:r>
    </w:p>
    <w:p>
      <w:pPr>
        <w:spacing w:before="40" w:after="120" w:line="276"/>
        <w:jc w:val="left"/>
      </w:pPr>
      <w:r>
        <w:rPr>
          <w:rFonts w:ascii="Arial" w:cs="Arial" w:eastAsia="Arial" w:hAnsi="Arial"/>
          <w:b w:val="false"/>
          <w:bCs w:val="false"/>
          <w:i w:val="false"/>
          <w:iCs w:val="false"/>
          <w:caps w:val="false"/>
          <w:color w:val="000000"/>
          <w:sz w:val="22"/>
          <w:szCs w:val="22"/>
        </w:rPr>
        <w:t xml:space="preserve">The explicit numerical thresholds (D1≥4, D2≥3, D3≥3 for Tier 1; D3≤1 for hard-stop) are analytically necessary for the scoring model's academic credibility. They are also precisely the parameters a sophisticated adversary would use for compliance engineering. Consider whether future scoring models for non-public use cases could abstract the thresholds into qualitative tiers rather than explicit numerical conditions.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8.3 For Georgetown SSP Submission</w:t>
      </w:r>
    </w:p>
    <w:p>
      <w:pPr>
        <w:spacing w:before="40" w:after="120" w:line="276"/>
        <w:jc w:val="left"/>
      </w:pPr>
      <w:r>
        <w:rPr>
          <w:rFonts w:ascii="Arial" w:cs="Arial" w:eastAsia="Arial" w:hAnsi="Arial"/>
          <w:b w:val="false"/>
          <w:bCs w:val="false"/>
          <w:i w:val="false"/>
          <w:iCs w:val="false"/>
          <w:caps w:val="false"/>
          <w:color w:val="000000"/>
          <w:sz w:val="22"/>
          <w:szCs w:val="22"/>
        </w:rPr>
        <w:t xml:space="preserve">The CI exposure profile of the SENI sub-series is a byproduct of its analytical depth, not a deficiency. The production of this standalone CI assessment alongside the corpus is itself evidence of the professional judgment and operational security awareness the SSP program selects for. Including a reference to this self-assessment in the portfolio cover letter is recommended, consistent with the guidance in CI-Assessment v3.0 Section 9.3.</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8.4 For Security Clearance Adjudication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The Legal Exposure assessment (Part VI) establishes that no SENI content implicates any criminal statute or clearance-disqualifying act. The named financial institutions (Wells Fargo, Nordion, Lantheus) are identified from public SEC filings — the same source type used by securities regulators and journalists. Proactive disclosure of the SENI corpus and this CI assessment in SF-86 and adjudication proceedings is recommended. The self-assessment posture demonstrates the analytic discipline and security awareness that adjudicative guidelines identify as favorable factors. [MODERATE CONFIDENCE, Analytically Inferred from published adjudicative standards]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280" w:after="100"/>
      </w:pPr>
      <w:r>
        <w:rPr>
          <w:rFonts w:ascii="Arial" w:cs="Arial" w:eastAsia="Arial" w:hAnsi="Arial"/>
          <w:b/>
          <w:bCs/>
          <w:caps w:val="false"/>
          <w:color w:val="1B2A4A"/>
          <w:sz w:val="24"/>
          <w:szCs w:val="24"/>
        </w:rPr>
        <w:t xml:space="preserve">8.5 For the v5.2 Register Format</w:t>
      </w:r>
    </w:p>
    <w:p>
      <w:pPr>
        <w:spacing w:before="60" w:after="100" w:line="276"/>
        <w:jc w:val="left"/>
      </w:pPr>
      <w:r>
        <w:rPr>
          <w:rFonts w:ascii="Arial" w:cs="Arial" w:eastAsia="Arial" w:hAnsi="Arial"/>
          <w:i w:val="false"/>
          <w:iCs w:val="false"/>
          <w:caps w:val="false"/>
          <w:color w:val="000000"/>
          <w:sz w:val="20"/>
          <w:szCs w:val="20"/>
        </w:rPr>
        <w:t xml:space="preserve">The three register-specific exposure vectors identified in Section 2.3 have one actionable mitigation not available to the sub-series documents: the register's SWIFT and FinCEN gap-closing evidence type citations are distributed across enforcement action cells in a format that makes them more visible than in the narrative sub-series documents. For future register versions, consider whether the enforcement action cell for each node should state the gap type abstractly ("transaction-level financial intelligence required") rather than naming the specific intelligence collection mechanism (SWIFT, FinCEN). The analytical substance is preserved; the specific evidence-type disclosure that informs evasion structuring is reduced. This is the register-format analogue of the Section 8.1 recommendation for FPA documents. [LOW implementation cost; MODERATE CI benefit for non-Russian adversaries who are less likely to have independent SWIFT/FinCEN collection capability]</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Part IX — Final Judgment</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WP-2026-SENI sub-series represents a complete open-source enforcement decision architecture that creates significant CI exposure precisely because it successfully achieves its analytical objective: to map the Russian nuclear fuel cycle as a sanctions enforcement targeting framework with sufficient evidentiary depth to withstand institutional review.</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highest-priority CI exposure items are FPA-01-v3 (Wells Fargo named, D2=[4+] gap documented), SCORE-01-v2 (explicit Tier 1 thresholds and hard-stop conditions), and the aggregated system (scoring + FPA + node profiles + Layer 3 = complete designation engineering guide). These are not assessable individually — their utility is in the system they form together.</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Available evidence supports the judgment that adversary awareness of this analytical architecture is unlikely to defeat the enforcement mechanisms the series documents. Those mechanisms operate through structural legal authorities and institutional capacity — OFAC designation authority, BIS export controls, secondary sanctions jurisdiction — not through information asymmetry. Knowing the analytical framework does not transfer the institutional capacity required to execute enforcement action. [MODERATE CONFIDENCE, ANALYTICALLY INFERRED]</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legal exposure assessment is the clearest finding in this document: WP-2026-SENI is legally unambiguous. No statute identified in the analysis applies. The content is constitutionally protected. The methodology is academically defensible. The production of this CI assessment alongside the series is itself a marker of the professional standards the work is designed to demonstrate.</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DIMENSION</w:t>
            </w:r>
          </w:p>
        </w:tc>
        <w:tc>
          <w:tcPr>
            <w:tcW w:type="dxa" w:w="7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FINAL STATUS</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CI Exposure</w:t>
            </w:r>
          </w:p>
        </w:tc>
        <w:tc>
          <w:tcPr>
            <w:tcW w:type="dxa" w:w="7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Significant at sub-series level; concentrated in FPA-01-v3 and aggregated system. Not addressable through retraction.</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Legal Exposure</w:t>
            </w:r>
          </w:p>
        </w:tc>
        <w:tc>
          <w:tcPr>
            <w:tcW w:type="dxa" w:w="7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Very low. No applicable statute implicated. First Amendment protections apply.</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Academic Submission</w:t>
            </w:r>
          </w:p>
        </w:tc>
        <w:tc>
          <w:tcPr>
            <w:tcW w:type="dxa" w:w="7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Proceed. SSRN adds credibility without materially increasing CI exposure beyond current GitHub indexing.</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Georgetown SSP</w:t>
            </w:r>
          </w:p>
        </w:tc>
        <w:tc>
          <w:tcPr>
            <w:tcW w:type="dxa" w:w="7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Proceed. CI self-assessment supports favorable portfolio characterization.</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Security Clearance</w:t>
            </w:r>
          </w:p>
        </w:tc>
        <w:tc>
          <w:tcPr>
            <w:tcW w:type="dxa" w:w="7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Proactive disclosure recommended. CI assessment and legal analysis support favorable adjudicative characterization.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WP-2026-SENI-CI-01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2026-03-19T12:49:05.437Z</dcterms:created>
  <dcterms:modified xsi:type="dcterms:W3CDTF">2026-03-19T12:49:05.438Z</dcterms:modified>
</cp:coreProperties>
</file>

<file path=docProps/custom.xml><?xml version="1.0" encoding="utf-8"?>
<Properties xmlns="http://schemas.openxmlformats.org/officeDocument/2006/custom-properties" xmlns:vt="http://schemas.openxmlformats.org/officeDocument/2006/docPropsVTypes"/>
</file>