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0" w:after="120" w:line="276"/>
        <w:jc w:val="center"/>
      </w:pPr>
      <w:r>
        <w:rPr>
          <w:rFonts w:ascii="Arial" w:cs="Arial" w:eastAsia="Arial" w:hAnsi="Arial"/>
          <w:b/>
          <w:bCs/>
          <w:i w:val="false"/>
          <w:iCs w:val="false"/>
          <w:caps/>
          <w:color w:val="FFFFFF"/>
          <w:sz w:val="18"/>
          <w:szCs w:val="18"/>
        </w:rPr>
        <w:t xml:space="preserve">UNCLASSIFIED // OPEN SOURCE</w:t>
      </w:r>
    </w:p>
    <w:p>
      <w:pPr>
        <w:shd w:fill="1B2A4A" w:val="clear"/>
        <w:spacing w:before="0" w:after="120" w:line="276"/>
        <w:jc w:val="center"/>
      </w:pPr>
      <w:r>
        <w:rPr>
          <w:rFonts w:ascii="Arial" w:cs="Arial" w:eastAsia="Arial" w:hAnsi="Arial"/>
          <w:b w:val="false"/>
          <w:bCs w:val="false"/>
          <w:i w:val="false"/>
          <w:iCs w:val="false"/>
          <w:caps w:val="false"/>
          <w:color w:val="AABBCC"/>
          <w:sz w:val="16"/>
          <w:szCs w:val="16"/>
        </w:rPr>
        <w:t xml:space="preserve">WP-2026-SENI-FPA-02 · C. George · March 2026</w:t>
      </w:r>
    </w:p>
    <w:p>
      <w:pPr>
        <w:spacing w:before="120" w:after="120" w:line="276"/>
        <w:jc w:val="left"/>
      </w:pPr>
      <w:r>
        <w:rPr>
          <w:rFonts w:ascii="Arial" w:cs="Arial" w:eastAsia="Arial" w:hAnsi="Arial"/>
          <w:b w:val="false"/>
          <w:bCs w:val="false"/>
          <w:i w:val="false"/>
          <w:iCs w:val="false"/>
          <w:caps w:val="false"/>
          <w:color w:val="000000"/>
          <w:sz w:val="22"/>
          <w:szCs w:val="22"/>
        </w:rPr>
        <w:t xml:space="preserve"/>
      </w:r>
    </w:p>
    <w:p>
      <w:pPr>
        <w:spacing w:before="0" w:after="40" w:line="276"/>
        <w:jc w:val="center"/>
      </w:pPr>
      <w:r>
        <w:rPr>
          <w:rFonts w:ascii="Arial" w:cs="Arial" w:eastAsia="Arial" w:hAnsi="Arial"/>
          <w:b/>
          <w:bCs/>
          <w:i w:val="false"/>
          <w:iCs w:val="false"/>
          <w:caps/>
          <w:color w:val="4A5568"/>
          <w:sz w:val="18"/>
          <w:szCs w:val="18"/>
        </w:rPr>
        <w:t xml:space="preserve">CENTER FOR COMPETITIVE STATECRAFT AND STRATEGIC POLICY</w:t>
      </w:r>
    </w:p>
    <w:p>
      <w:pPr>
        <w:spacing w:before="0" w:after="80" w:line="276"/>
        <w:jc w:val="center"/>
      </w:pPr>
      <w:r>
        <w:rPr>
          <w:rFonts w:ascii="Arial" w:cs="Arial" w:eastAsia="Arial" w:hAnsi="Arial"/>
          <w:b/>
          <w:bCs/>
          <w:i w:val="false"/>
          <w:iCs w:val="false"/>
          <w:caps/>
          <w:color w:val="1B2A4A"/>
          <w:sz w:val="20"/>
          <w:szCs w:val="20"/>
        </w:rPr>
        <w:t xml:space="preserve">WP-2026 SERIES</w:t>
      </w:r>
    </w:p>
    <w:p>
      <w:pPr>
        <w:pBdr>
          <w:bottom w:val="single" w:color="1B2A4A" w:sz="6" w:space="1"/>
        </w:pBdr>
        <w:spacing w:before="0" w:after="40" w:line="276"/>
        <w:jc w:val="left"/>
      </w:pPr>
      <w:r>
        <w:rPr>
          <w:rFonts w:ascii="Arial" w:cs="Arial" w:eastAsia="Arial" w:hAnsi="Arial"/>
          <w:b/>
          <w:bCs/>
          <w:i w:val="false"/>
          <w:iCs w:val="false"/>
          <w:caps w:val="false"/>
          <w:color w:val="1B2A4A"/>
          <w:sz w:val="36"/>
          <w:szCs w:val="36"/>
        </w:rPr>
        <w:t xml:space="preserve">CHMP ZIRCONIUM EXPORT CHANNEL — DEMONSTRATION CASE</w:t>
      </w:r>
    </w:p>
    <w:p>
      <w:pPr>
        <w:spacing w:before="0" w:after="160" w:line="276"/>
        <w:jc w:val="left"/>
      </w:pPr>
      <w:r>
        <w:rPr>
          <w:rFonts w:ascii="Arial" w:cs="Arial" w:eastAsia="Arial" w:hAnsi="Arial"/>
          <w:b/>
          <w:bCs/>
          <w:i w:val="false"/>
          <w:iCs w:val="false"/>
          <w:caps w:val="false"/>
          <w:color w:val="4A5568"/>
          <w:sz w:val="24"/>
          <w:szCs w:val="24"/>
        </w:rPr>
        <w:t xml:space="preserve">WP-2026-SENI-FPA-02 · Financial Pathway Analysis · D2=[4] · Illustrative Enforcement Pathway; Not Operational Guidance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80" w:after="80" w:line="276"/>
        <w:jc w:val="left"/>
      </w:pPr>
      <w:r>
        <w:rPr>
          <w:rFonts w:ascii="Arial" w:cs="Arial" w:eastAsia="Arial" w:hAnsi="Arial"/>
          <w:b/>
          <w:bCs/>
          <w:i w:val="false"/>
          <w:iCs w:val="false"/>
          <w:caps/>
          <w:color w:val="1B2A4A"/>
          <w:sz w:val="20"/>
          <w:szCs w:val="20"/>
        </w:rPr>
        <w:t xml:space="preserve">NOTICE  </w:t>
      </w:r>
      <w:r>
        <w:rPr>
          <w:rFonts w:ascii="Arial" w:cs="Arial" w:eastAsia="Arial" w:hAnsi="Arial"/>
          <w:b w:val="false"/>
          <w:bCs w:val="false"/>
          <w:i/>
          <w:iCs/>
          <w:caps w:val="false"/>
          <w:color w:val="4A5568"/>
          <w:sz w:val="20"/>
          <w:szCs w:val="20"/>
        </w:rPr>
        <w:t xml:space="preserve">Independent policy research. All sources open-source. This document is an illustrative enforcement pathway; not operational guidance. Confidence tiers per WP-2026-SENI-CONF-01. Does not constitute legal advice and does not establish classified findings. UNCLASSIFIED // OPEN SOURCE POLICY ANALYSIS.</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240" w:after="80" w:line="276"/>
        <w:jc w:val="left"/>
      </w:pPr>
      <w:r>
        <w:rPr>
          <w:rFonts w:ascii="Arial" w:cs="Arial" w:eastAsia="Arial" w:hAnsi="Arial"/>
          <w:b/>
          <w:bCs/>
          <w:i w:val="false"/>
          <w:iCs w:val="false"/>
          <w:caps w:val="false"/>
          <w:color w:val="1B2A4A"/>
          <w:sz w:val="24"/>
          <w:szCs w:val="24"/>
        </w:rPr>
        <w:t xml:space="preserve">Evidentiary Standard — FPA-02 (ChMP)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DIMENSION</w:t>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STATUS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 Classification</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D2=[4]</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Western counterparty</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CONFIRMED — ČEZ Group (Czech Republic); Fortum (Finland); MVM Paks NPP (Hungary); Slovenské elektrárne (Slovakia)</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Verified exposure category</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CONFIRMED — EU nuclear utility fuel assembly purchase contracts with TVEL</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Corporate linkage (ChMP → TVEL)</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CONFIRMED — ChMP is a TVEL subsidiary; Rosatom state-owned enterprise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clearing bank</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NOT CLAIMED — specific financial institution clearing TVEL payments not identified in OSINT</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Transaction-level trace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NOT CLAIMED — no invoice, SWIFT, or payment record available in open source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D2=[4+] upgrade path</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Identification of clearing institution via customs-level HS 8109 importer data or EU corporate banking disclosures</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Executive Summary</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This document is a demonstration case for the SENI financial pathway framework applied to an indirect, real-world industrial pathway. Node 34 — Chepetsk Mechanical Plant (ChMP), Glazov — is Russia's sole nuclear-grade zirconium alloy producer and a TVEL subsidiary. ChMP supplies zirconium cladding components embedded in TVEL fuel assemblies exported to EU nuclear utilities.</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Pathway (summary): ChMP → TVEL → Named EU Operator (ČEZ, Fortum, MVM Paks, Slovenské elektrárne) → payment exposure post-GL 115C expiry.</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D2 classification: D2=[4]. Named Western counterparties are confirmed at Tier 1. No clearing bank is identified. This pathway does not achieve the evidentiary depth of FPA-01 (D2=[4+], Wells Fargo named). The enforcement trigger is GL 115C expiry or non-renewal (currently June 18, 2026). The binding constraint is absence of EU allied coordination and the EU Blocking Statute conflict documented in AUTH-01.</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1 — Production Node: ChMP (Glazov)</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ChMP (JSC Chepetsky Mechanical Plant, Glazov, Udmurt Republic) is assessed as the primary zirconium supply node supporting TVEL fuel fabrication. It is the sole manufacturer of nuclear-grade zirconium alloy products within Russia, producing cladding tubes, guide tubes, and structural components used in VVER and RBMK fuel assemblies. ChMP is a TVEL subsidiary and part of the Rosatom state corporation [TIER 1 — TVEL/CMP JSC corporate website; World Nuclear Association Russia Nuclear Fuel Cycle profile].</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ChMP mastered domestic zirconium sponge production in October 2023, completing vertical integration of the Russian nuclear zirconium supply chain [TIER 1 — Nuclear Engineering International, October 2023]. Prior to that milestone, ChMP imported zirconium sponge feedstock, creating a partial Western input dependency that has now been closed.</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1A5C2E" w:sz="18"/>
          <w:bottom w:val="none" w:color="FFFFFF" w:sz="0"/>
          <w:right w:val="none" w:color="FFFFFF" w:sz="0"/>
        </w:pBdr>
        <w:shd w:fill="EAF4EC" w:val="clear"/>
        <w:spacing w:before="100" w:after="100" w:line="276"/>
        <w:jc w:val="left"/>
      </w:pPr>
      <w:r>
        <w:rPr>
          <w:rFonts w:ascii="Arial" w:cs="Arial" w:eastAsia="Arial" w:hAnsi="Arial"/>
          <w:b/>
          <w:bCs/>
          <w:i w:val="false"/>
          <w:iCs w:val="false"/>
          <w:caps/>
          <w:color w:val="1A5C2E"/>
          <w:sz w:val="20"/>
          <w:szCs w:val="20"/>
        </w:rPr>
        <w:t xml:space="preserve">DOCUMENTED STRUCTURAL CONSTRAINT  </w:t>
      </w:r>
      <w:r>
        <w:rPr>
          <w:rFonts w:ascii="Arial" w:cs="Arial" w:eastAsia="Arial" w:hAnsi="Arial"/>
          <w:b w:val="false"/>
          <w:bCs w:val="false"/>
          <w:i w:val="false"/>
          <w:iCs w:val="false"/>
          <w:caps w:val="false"/>
          <w:color w:val="000000"/>
          <w:sz w:val="20"/>
          <w:szCs w:val="20"/>
        </w:rPr>
        <w:t xml:space="preserve">ChMP is not itself an export-facing entity. It supplies zirconium alloy components internally to TVEL fabrication plants (MSZ Elektrostal, NCCP Novosibirsk). Revenue for ChMP's output accrues to TVEL through consolidated fuel assembly export contracts — not through direct ChMP-to-customer transactions. This is the defining structural feature of the ChMP pathway and the reason it does not achieve FPA-01 evidentiary depth.</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2 — Corporate Chain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NODE</w:t>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STRUCTURE AND DESIGNATION STATUS</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ChMP (Glazov)</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Sole Russian nuclear-grade zirconium producer. TVEL subsidiary. Not explicitly OFAC-listed as of March 2026.</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TVEL JSC (Moscow)</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Rosatom fuel company. OFAC SDN-designated April 2024 under EO 13382 [TIER 1 — OFAC SDN List]. Owns ChMP directly. ChMP is assessed to be encompassed within TVEL's designation exposure under OFAC's 50% ownership/control criteria.</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MSZ Elektrostal / NCCP Novosibirsk</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TVEL fuel fabrication plants. Receive ChMP zirconium alloy as input. Produce finished fuel assemblies for VVER reactors.</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EU Utility Operators</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Named counterparties (Section 3). Purchase completed fuel assemblies under long-term supply contracts with TVEL. EUR/domestic currency payment exposure.</w:t>
            </w:r>
          </w:p>
        </w:tc>
      </w:tr>
    </w:tbl>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ChMP is assessed to be encompassed within TVEL's designation exposure under OFAC's 50% ownership and control criteria. Explicit ChMP listing is recommended as a preparation action to close compliance ambiguity for third-country operators, but is not required to establish the enforcement predicate under the 50% rule.</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3 — Named Counterparty Identification (D2=[4] Determination)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following EU nuclear utility operators are identified as named Western counterparties in TVEL fuel assembly supply relationships. ChMP zirconium alloy is embedded in these assemblies as cladding material. Counterparty identification is at the fuel assembly level; a zirconium sub-component contract specifically naming ChMP is not separately disclosed in open-source evidence.</w:t>
      </w:r>
    </w:p>
    <w:p>
      <w:pPr>
        <w:spacing w:before="6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400"/>
        <w:gridCol w:w="51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ENTITY</w:t>
            </w:r>
          </w:p>
        </w:tc>
        <w:tc>
          <w:tcPr>
            <w:tcW w:type="dxa" w:w="12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COUNTRY</w:t>
            </w:r>
          </w:p>
        </w:tc>
        <w:tc>
          <w:tcPr>
            <w:tcW w:type="dxa" w:w="14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REACTOR TYPE</w:t>
            </w:r>
          </w:p>
        </w:tc>
        <w:tc>
          <w:tcPr>
            <w:tcW w:type="dxa" w:w="51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LINKAGE STATEMENT</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ČEZ Group</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Czech Republic</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VVER-440 (Dukovany ×4); VVER-1000 (Temelín ×2)</w:t>
            </w:r>
          </w:p>
        </w:tc>
        <w:tc>
          <w:tcPr>
            <w:tcW w:type="dxa" w:w="5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ČEZ is documented as receiving TVEL-supplied nuclear fuel, which incorporates zirconium cladding produced by ChMP. Westinghouse VVER-440 contract signed March 2023; deliveries commenced 2024 [T1 — Westinghouse press release March 2023]. Transition ongoing; three-year fuel reserve maintained with TVEL-origin fuel.</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Fortum (Loviisa NPP)</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Finland</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VVER-440 (×2)</w:t>
            </w:r>
          </w:p>
        </w:tc>
        <w:tc>
          <w:tcPr>
            <w:tcW w:type="dxa" w:w="5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Fortum is documented as receiving TVEL-supplied nuclear fuel, which incorporates zirconium cladding produced by ChMP. TVEL supply contract in force through 2027 [T1 — NucNet 2023]. APIS consortium participant for VVER-440 alternative fuel qualification.</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MVM Paks NPP</w:t>
            </w:r>
          </w:p>
        </w:tc>
        <w:tc>
          <w:tcPr>
            <w:tcW w:type="dxa" w:w="12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Hungary</w:t>
            </w:r>
          </w:p>
        </w:tc>
        <w:tc>
          <w:tcPr>
            <w:tcW w:type="dxa" w:w="14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VVER-440 (×4)</w:t>
            </w:r>
          </w:p>
        </w:tc>
        <w:tc>
          <w:tcPr>
            <w:tcW w:type="dxa" w:w="51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MVM Paks is documented as receiving TVEL-supplied nuclear fuel, which incorporates zirconium cladding produced by ChMP. Most TVEL-dependent EU operator as of March 2026; no defined Russian fuel phase-out date [T1 — Bellona March 2024; CSIS March 2026].</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Slovenské elektrárne</w:t>
            </w:r>
          </w:p>
        </w:tc>
        <w:tc>
          <w:tcPr>
            <w:tcW w:type="dxa" w:w="12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Slovakia</w:t>
            </w:r>
          </w:p>
        </w:tc>
        <w:tc>
          <w:tcPr>
            <w:tcW w:type="dxa" w:w="14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VVER-440 (×5)</w:t>
            </w:r>
          </w:p>
        </w:tc>
        <w:tc>
          <w:tcPr>
            <w:tcW w:type="dxa" w:w="51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Slovenské elektrárne is documented as receiving TVEL-supplied nuclear fuel, which incorporates zirconium cladding produced by ChMP. Framatome long-term contract signed 2024, deliveries from 2027 [T1 — Framatome press release July 2024; World Nuclear News July 2024].</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4 — Financial Exposure Layer</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Payments for TVEL fuel assemblies incorporating ChMP zirconium flow from EU utility operators to TVEL under long-term fuel supply contracts. These are EUR or domestic currency transactions. The EU imported approximately €280 million in Russian nuclear fuel in 2022 and €686 million in 2023 [TIER 2 — Bellona.org analysis of Eurostat/UN Comtrade data, March 2024]. Country-level breakdowns include Hungary (approximately €124M in 2023) and Slovakia (approximately €200M in 2023).</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Payments are assessed to flow through TVEL-controlled commercial channels; specific clearing institutions are not identified in OSINT. The GL 115C authorization (Section 5) confirms that these transactions involve entities named in the license — the GL itself establishes the banking nexus at the category level without naming the specific institution processing each payment.</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Financial layer limitation: This pathway does not identify a named Western bank. The ChMP/TVEL payment flow runs from European utilities to a Russian state-owned fuel company through European commercial banking infrastructure. The specific bank(s) clearing these EUR payments are not named in public disclosures, regulatory filings, or press releases reviewed for this document. This is the binding OSINT ceiling for this pathway.</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5 — Enforcement Trigger: GL 115 License Status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OFAC Russia-related General License 115C ("Authorizing Certain Transactions Related to Civil Nuclear Energy") currently authorizes all transactions prohibited by EO 14024 involving thirteen named Russian financial institutions — including Gazprombank, Sberbank, VTB, Alfa-Bank, and the Central Bank of Russia — that are related to civil nuclear energy projects initiated before November 21, 2024. GL 115C is valid through 12:01 a.m. EDT June 18, 2026 [TIER 1 — OFAC GL 115C text, signed December 17, 2025, Director Bradley T. Smith].</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GL 115 authorization has been renewed three consecutive times: GL 115 (original) → GL 115A (January 10, 2025) → GL 115B (June 27, 2025) → GL 115C (December 17, 2025). The pattern of renewal indicates a deliberate policy carve-out, not a transitional measure. Non-renewal is the operative enforcement condition — it requires a policy decision, not merely the passage of time.</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Upon expiration of GL 115C without renewal, continued transactions involving TVEL-linked fuel supply may expose participating financial institutions to secondary sanctions risk under EO 14024 and EO 14114, conditional on license status and applicable exemptions.</w:t>
      </w:r>
    </w:p>
    <w:p>
      <w:pPr>
        <w:spacing w:before="2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GL VERSION</w:t>
            </w:r>
          </w:p>
        </w:tc>
        <w:tc>
          <w:tcPr>
            <w:tcW w:type="dxa" w:w="75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STATUS AND KEY PARAMETERS</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 (original)</w:t>
            </w:r>
          </w:p>
        </w:tc>
        <w:tc>
          <w:tcPr>
            <w:tcW w:type="dxa" w:w="7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Issued with TVEL SDN designation. Authorized civil nuclear transactions through June 30, 2025.</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115A</w:t>
            </w:r>
          </w:p>
        </w:tc>
        <w:tc>
          <w:tcPr>
            <w:tcW w:type="dxa" w:w="7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Issued January 10, 2025. Added GL 8L banks (Sberbank included). Expiry June 30, 2025.</w:t>
            </w:r>
          </w:p>
        </w:tc>
      </w:tr>
      <w:tr>
        <w:tc>
          <w:tcPr>
            <w:tcW w:type="dxa" w:w="18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115B</w:t>
            </w:r>
          </w:p>
        </w:tc>
        <w:tc>
          <w:tcPr>
            <w:tcW w:type="dxa" w:w="75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Issued June 27, 2025. Maintained scope. Replaced by 115C December 17, 2025.</w:t>
            </w:r>
          </w:p>
        </w:tc>
      </w:tr>
      <w:tr>
        <w:tc>
          <w:tcPr>
            <w:tcW w:type="dxa" w:w="18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115C (current)</w:t>
            </w:r>
          </w:p>
        </w:tc>
        <w:tc>
          <w:tcPr>
            <w:tcW w:type="dxa" w:w="75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Issued December 17, 2025. Valid through June 18, 2026. Thirteen named entities. Paks II excluded. Directive 2 correspondent account prohibition maintained [T1 — OFAC GL 115C].</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6 — D2=[4] Classification Justification</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CRITERION</w:t>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ASSESSMENT</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Western counterparty</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YES — ČEZ, Fortum, MVM Paks, Slovenské elektrárne confirmed at Tier 1</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Corporate linkage (ChMP → TVEL → EU utility)</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YES — TVEL subsidiary chain and EU fuel supply contracts confirmed at Tier 1</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Verified exposure category</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YES — EUR-denominated fuel assembly purchases; GL 115C confirms banking nexus at category level</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Named clearing bank</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 not identified in open-source evidence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Transaction-level trace</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 no invoice, SWIFT, or payment record available</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D2=[4] determination</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CONFIRMED: The pathway meets D2=[4] criteria by establishing named Western counterparties with verified exposure while not asserting transaction-level banking detail.</w:t>
            </w:r>
          </w:p>
        </w:tc>
      </w:tr>
    </w:tbl>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The pathway meets D2=[4] criteria by establishing a named Western counterparty with verified exposure while not asserting transaction-level banking detail. This is consistent with the D2 evidence tiering framework established in SENI-SCORE-01-v2: D2=[4] requires named counterparties; D2=[4+] requires a named bank associated with the transaction participant; D2=[5-OSINT] requires a named bank explicitly tied to the specific transaction flow.</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7 — Constraints and OSINT Ceiling</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This pathway is bounded by OSINT limitations and does not claim transaction-level verification. The following constraints define the evidentiary boundary:</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CONSTRAINT</w:t>
            </w:r>
          </w:p>
        </w:tc>
        <w:tc>
          <w:tcPr>
            <w:tcW w:type="dxa" w:w="73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DESCRIPTION</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 named clearing bank</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European commercial bank(s) processing TVEL fuel assembly payment receipts are not identified in open-source evidence. This is the primary gap distinguishing D2=[4] from D2=[4+].</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 invoice-level data</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No fuel assembly purchase invoice, payment instruction, or contract financial annex is available in open-source evidence.</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 zirconium sub-component contract</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counterparty identification is at the fuel assembly level. A contract specifically naming ChMP as the zirconium supplier for a given assembly batch is not separately disclosed.</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No customs importer confirmation</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Eurostat COMEXT HS 8109 (zirconium) data would identify specific EU importing entities for Russian-origin zirconium products. This query has not been executed — results would potentially upgrade D2 from [4] to [4+] by naming the specific zirconium importer.</w:t>
            </w:r>
          </w:p>
        </w:tc>
      </w:tr>
      <w:tr>
        <w:tc>
          <w:tcPr>
            <w:tcW w:type="dxa" w:w="20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GL 115C enforcement condition</w:t>
            </w:r>
          </w:p>
        </w:tc>
        <w:tc>
          <w:tcPr>
            <w:tcW w:type="dxa" w:w="73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The secondary sanctions exposure is conditional on GL 115C non-renewal. Three consecutive renewals indicate this is a policy-contingent, not date-certain, trigger.</w:t>
            </w:r>
          </w:p>
        </w:tc>
      </w:tr>
      <w:tr>
        <w:tc>
          <w:tcPr>
            <w:tcW w:type="dxa" w:w="20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EU Blocking Statute</w:t>
            </w:r>
          </w:p>
        </w:tc>
        <w:tc>
          <w:tcPr>
            <w:tcW w:type="dxa" w:w="73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Secondary sanctions on EU banks clearing TVEL payments would conflict with EU Regulation 2271/96 (Blocking Statute). Allied coordination is a precondition for enforcement, not an option. Documented in WP-2026-SENI-AUTH-01.</w:t>
            </w:r>
          </w:p>
        </w:tc>
      </w:tr>
    </w:tbl>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1B2A4A" w:sz="6" w:space="1"/>
        </w:pBdr>
        <w:spacing w:before="320" w:after="120" w:line="276"/>
        <w:jc w:val="left"/>
      </w:pPr>
      <w:r>
        <w:rPr>
          <w:rFonts w:ascii="Arial" w:cs="Arial" w:eastAsia="Arial" w:hAnsi="Arial"/>
          <w:b/>
          <w:bCs/>
          <w:i w:val="false"/>
          <w:iCs w:val="false"/>
          <w:caps/>
          <w:color w:val="1B2A4A"/>
          <w:sz w:val="30"/>
          <w:szCs w:val="30"/>
        </w:rPr>
        <w:t xml:space="preserve">Section 8 — Upgrade Path to D2=[4+]</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spacing w:before="40" w:after="120" w:line="276"/>
        <w:jc w:val="left"/>
      </w:pPr>
      <w:r>
        <w:rPr>
          <w:rFonts w:ascii="Arial" w:cs="Arial" w:eastAsia="Arial" w:hAnsi="Arial"/>
          <w:b w:val="false"/>
          <w:bCs w:val="false"/>
          <w:i w:val="false"/>
          <w:iCs w:val="false"/>
          <w:caps w:val="false"/>
          <w:color w:val="000000"/>
          <w:sz w:val="22"/>
          <w:szCs w:val="22"/>
        </w:rPr>
        <w:t xml:space="preserve">Advancement to D2=[4+] requires identification of clearing institutions or transaction-level confirmation of the ChMP zirconium → TVEL → EU utility payment channel. The following specific data sources represent the most accessible upgrade paths:</w:t>
      </w:r>
    </w:p>
    <w:p>
      <w:pPr>
        <w:spacing w:before="40" w:after="120" w:line="276"/>
        <w:jc w:val="left"/>
      </w:pPr>
      <w:r>
        <w:rPr>
          <w:rFonts w:ascii="Arial" w:cs="Arial" w:eastAsia="Arial" w:hAnsi="Arial"/>
          <w:b w:val="false"/>
          <w:bCs w:val="false"/>
          <w:i w:val="false"/>
          <w:iCs w:val="false"/>
          <w:cap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DATA SOURCE</w:t>
            </w:r>
          </w:p>
        </w:tc>
        <w:tc>
          <w:tcPr>
            <w:tcW w:type="dxa" w:w="7760"/>
            <w:tcBorders>
              <w:top w:val="single" w:color="1B2A4A" w:sz="6"/>
              <w:left w:val="single" w:color="1B2A4A" w:sz="6"/>
              <w:bottom w:val="single" w:color="1B2A4A" w:sz="6"/>
              <w:right w:val="single" w:color="1B2A4A" w:sz="6"/>
            </w:tcBorders>
            <w:shd w:fill="1B2A4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FFFFFF"/>
                <w:sz w:val="20"/>
                <w:szCs w:val="20"/>
              </w:rPr>
              <w:t xml:space="preserve">UPGRADE POTENTIAL</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Eurostat COMEXT HS 8109 (zirconium, Russia origin)</w:t>
            </w:r>
          </w:p>
        </w:tc>
        <w:tc>
          <w:tcPr>
            <w:tcW w:type="dxa" w:w="7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Would identify specific EU member state importers of Russian-origin zirconium by volume and value. Member-state level data would confirm which countries are receiving Russian zirconium directly. Entity-level confirmation would require customs declaration access beyond aggregated Eurostat data — but country-level data would strengthen the counterparty nexus to D2=[4+] candidate.</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EU utility annual reports (ČEZ, Fortum)</w:t>
            </w:r>
          </w:p>
        </w:tc>
        <w:tc>
          <w:tcPr>
            <w:tcW w:type="dxa" w:w="7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Nuclear fuel payables footnotes in audited financial statements may identify banking institutions used for fuel payment processing. Czech National Bank regulatory filings for ČEZ nuclear fuel procurement may name counterparty financial institutions.</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Euratom Supply Agency annual report</w:t>
            </w:r>
          </w:p>
        </w:tc>
        <w:tc>
          <w:tcPr>
            <w:tcW w:type="dxa" w:w="7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ESA reports disclose fuel supply contracts by reactor type and country. Entity-level counterparty identification is aggregated but may confirm specific TVEL contract structures.</w:t>
            </w:r>
          </w:p>
        </w:tc>
      </w:tr>
      <w:tr>
        <w:tc>
          <w:tcPr>
            <w:tcW w:type="dxa" w:w="160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Czech/Slovak/Finnish customs declarations</w:t>
            </w:r>
          </w:p>
        </w:tc>
        <w:tc>
          <w:tcPr>
            <w:tcW w:type="dxa" w:w="7760"/>
            <w:tcBorders>
              <w:top w:val="single" w:color="D0D4DA" w:sz="4"/>
              <w:left w:val="single" w:color="D0D4DA" w:sz="4"/>
              <w:bottom w:val="single" w:color="D0D4DA" w:sz="4"/>
              <w:right w:val="single" w:color="D0D4DA" w:sz="4"/>
            </w:tcBorders>
            <w:shd w:fill="E8EDF5"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National customs databases for nuclear material imports (HS 2844/8109) may name importer of record at the entity level — confirming whether ČEZ or Fortum import zirconium directly or receive it embedded in assemblies.</w:t>
            </w:r>
          </w:p>
        </w:tc>
      </w:tr>
      <w:tr>
        <w:tc>
          <w:tcPr>
            <w:tcW w:type="dxa" w:w="160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bCs/>
                <w:i w:val="false"/>
                <w:iCs w:val="false"/>
                <w:caps w:val="false"/>
                <w:color w:val="1B2A4A"/>
                <w:sz w:val="20"/>
                <w:szCs w:val="20"/>
              </w:rPr>
              <w:t xml:space="preserve">FinCEN/SWIFT (classified)</w:t>
            </w:r>
          </w:p>
        </w:tc>
        <w:tc>
          <w:tcPr>
            <w:tcW w:type="dxa" w:w="7760"/>
            <w:tcBorders>
              <w:top w:val="single" w:color="D0D4DA" w:sz="4"/>
              <w:left w:val="single" w:color="D0D4DA" w:sz="4"/>
              <w:bottom w:val="single" w:color="D0D4DA" w:sz="4"/>
              <w:right w:val="single" w:color="D0D4DA" w:sz="4"/>
            </w:tcBorders>
            <w:shd w:fill="FAFAFA" w:val="clear"/>
            <w:tcMar>
              <w:top w:type="dxa" w:w="80"/>
              <w:left w:type="dxa" w:w="120"/>
              <w:bottom w:type="dxa" w:w="80"/>
              <w:right w:type="dxa" w:w="120"/>
            </w:tcMar>
          </w:tcPr>
          <w:p>
            <w:pPr>
              <w:spacing w:before="0" w:after="120" w:line="276"/>
              <w:jc w:val="left"/>
            </w:pPr>
            <w:r>
              <w:rPr>
                <w:rFonts w:ascii="Arial" w:cs="Arial" w:eastAsia="Arial" w:hAnsi="Arial"/>
                <w:b w:val="false"/>
                <w:bCs w:val="false"/>
                <w:i w:val="false"/>
                <w:iCs w:val="false"/>
                <w:caps w:val="false"/>
                <w:color w:val="000000"/>
                <w:sz w:val="20"/>
                <w:szCs w:val="20"/>
              </w:rPr>
              <w:t xml:space="preserve">Transaction-level confirmation of TVEL EUR payment routing. Would achieve D2=[5-OSINT] or D2=[5-FININT] depending on data type. Outside OSINT scope.</w:t>
            </w:r>
          </w:p>
        </w:tc>
      </w:tr>
    </w:tbl>
    <w:p>
      <w:pPr>
        <w:spacing w:before="40" w:after="120" w:line="276"/>
        <w:jc w:val="left"/>
      </w:pPr>
      <w:r>
        <w:rPr>
          <w:rFonts w:ascii="Arial" w:cs="Arial" w:eastAsia="Arial" w:hAnsi="Arial"/>
          <w:b w:val="false"/>
          <w:bCs w:val="false"/>
          <w:i w:val="false"/>
          <w:iCs w:val="false"/>
          <w:caps w:val="false"/>
          <w:color w:val="000000"/>
          <w:sz w:val="22"/>
          <w:szCs w:val="22"/>
        </w:rPr>
        <w:t xml:space="preserve"/>
      </w:r>
    </w:p>
    <w:p>
      <w:pPr>
        <w:pBdr>
          <w:top w:val="none" w:color="FFFFFF" w:sz="0"/>
          <w:left w:val="single" w:color="7A4000" w:sz="18"/>
          <w:bottom w:val="none" w:color="FFFFFF" w:sz="0"/>
          <w:right w:val="none" w:color="FFFFFF" w:sz="0"/>
        </w:pBdr>
        <w:shd w:fill="FEF3E2" w:val="clear"/>
        <w:spacing w:before="100" w:after="100" w:line="276"/>
        <w:jc w:val="left"/>
      </w:pPr>
      <w:r>
        <w:rPr>
          <w:rFonts w:ascii="Arial" w:cs="Arial" w:eastAsia="Arial" w:hAnsi="Arial"/>
          <w:b/>
          <w:bCs/>
          <w:i w:val="false"/>
          <w:iCs w:val="false"/>
          <w:caps/>
          <w:color w:val="7A4000"/>
          <w:sz w:val="20"/>
          <w:szCs w:val="20"/>
        </w:rPr>
        <w:t xml:space="preserve">IMPLEMENTATION FRICTION  </w:t>
      </w:r>
      <w:r>
        <w:rPr>
          <w:rFonts w:ascii="Arial" w:cs="Arial" w:eastAsia="Arial" w:hAnsi="Arial"/>
          <w:b w:val="false"/>
          <w:bCs w:val="false"/>
          <w:i w:val="false"/>
          <w:iCs w:val="false"/>
          <w:caps w:val="false"/>
          <w:color w:val="000000"/>
          <w:sz w:val="20"/>
          <w:szCs w:val="20"/>
        </w:rPr>
        <w:t xml:space="preserve">OSINT ceiling summary: The ChMP pathway is bounded at D2=[4] under current open-source conditions. The gap to D2=[4+] is the identity of one European commercial bank processing TVEL fuel assembly payments from a named EU utility. This is a narrowly defined data problem, not an analytical design limitation. Eurostat COMEXT HS 8109 is the highest-priority non-classified upgrade action.</w:t>
      </w:r>
    </w:p>
    <w:p>
      <w:pPr>
        <w:spacing w:before="80" w:after="120" w:line="276"/>
        <w:jc w:val="left"/>
      </w:pPr>
      <w:r>
        <w:rPr>
          <w:rFonts w:ascii="Arial" w:cs="Arial" w:eastAsia="Arial" w:hAnsi="Arial"/>
          <w:b w:val="false"/>
          <w:bCs w:val="false"/>
          <w:i w:val="false"/>
          <w:iCs w:val="false"/>
          <w:caps w:val="false"/>
          <w:color w:val="000000"/>
          <w:sz w:val="22"/>
          <w:szCs w:val="22"/>
        </w:rPr>
        <w:t xml:space="preserve"/>
      </w:r>
    </w:p>
    <w:p>
      <w:pPr>
        <w:spacing w:before="200" w:after="120" w:line="276"/>
        <w:jc w:val="left"/>
      </w:pPr>
      <w:r>
        <w:rPr>
          <w:rFonts w:ascii="Arial" w:cs="Arial" w:eastAsia="Arial" w:hAnsi="Arial"/>
          <w:b w:val="false"/>
          <w:bCs w:val="false"/>
          <w:i w:val="false"/>
          <w:iCs w:val="false"/>
          <w:caps w:val="false"/>
          <w:color w:val="000000"/>
          <w:sz w:val="22"/>
          <w:szCs w:val="22"/>
        </w:rPr>
        <w:t xml:space="preserve"/>
      </w:r>
    </w:p>
    <w:p>
      <w:pPr>
        <w:pBdr>
          <w:bottom w:val="single" w:color="D0D4DA" w:sz="6" w:space="1"/>
        </w:pBdr>
        <w:spacing w:before="120" w:after="120" w:line="276"/>
        <w:jc w:val="center"/>
      </w:pPr>
      <w:r>
        <w:rPr>
          <w:rFonts w:ascii="Arial" w:cs="Arial" w:eastAsia="Arial" w:hAnsi="Arial"/>
          <w:b w:val="false"/>
          <w:bCs w:val="false"/>
          <w:i w:val="false"/>
          <w:iCs w:val="false"/>
          <w:caps w:val="false"/>
          <w:color w:val="4A5568"/>
          <w:sz w:val="18"/>
          <w:szCs w:val="18"/>
        </w:rPr>
        <w:t xml:space="preserve">WP-2026-SENI-FPA-02 · C. George · March 2026 · WP-2026 Series</w:t>
      </w:r>
    </w:p>
    <w:p>
      <w:pPr>
        <w:spacing w:before="0" w:after="40" w:line="276"/>
        <w:jc w:val="center"/>
      </w:pPr>
      <w:r>
        <w:rPr>
          <w:rFonts w:ascii="Arial" w:cs="Arial" w:eastAsia="Arial" w:hAnsi="Arial"/>
          <w:b w:val="false"/>
          <w:bCs w:val="false"/>
          <w:i/>
          <w:iCs/>
          <w:caps w:val="false"/>
          <w:color w:val="4A5568"/>
          <w:sz w:val="16"/>
          <w:szCs w:val="16"/>
        </w:rPr>
        <w:t xml:space="preserve">UNCLASSIFIED // OPEN SOURCE // INDEPENDENT POLICY RESEARCH · CC BY 4.0</w:t>
      </w:r>
    </w:p>
    <w:p>
      <w:pPr>
        <w:spacing w:before="0" w:after="120" w:line="276"/>
        <w:jc w:val="center"/>
      </w:pPr>
      <w:r>
        <w:rPr>
          <w:rFonts w:ascii="Arial" w:cs="Arial" w:eastAsia="Arial" w:hAnsi="Arial"/>
          <w:b/>
          <w:bCs/>
          <w:i w:val="false"/>
          <w:iCs w:val="false"/>
          <w:caps/>
          <w:color w:val="1B2A4A"/>
          <w:sz w:val="18"/>
          <w:szCs w:val="18"/>
        </w:rPr>
        <w:t xml:space="preserve">END OF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2026-03-19T12:26:04.606Z</dcterms:created>
  <dcterms:modified xsi:type="dcterms:W3CDTF">2026-03-19T12:26:04.607Z</dcterms:modified>
</cp:coreProperties>
</file>

<file path=docProps/custom.xml><?xml version="1.0" encoding="utf-8"?>
<Properties xmlns="http://schemas.openxmlformats.org/officeDocument/2006/custom-properties" xmlns:vt="http://schemas.openxmlformats.org/officeDocument/2006/docPropsVTypes"/>
</file>