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aps/>
          <w:color w:val="4A5568"/>
          <w:sz w:val="18"/>
          <w:szCs w:val="18"/>
        </w:rPr>
        <w:t xml:space="preserve">UNCLASSIFIED // OPEN SOURCE</w:t>
      </w:r>
    </w:p>
    <w:p>
      <w:pPr>
        <w:spacing w:before="0" w:after="160"/>
      </w:pPr>
      <w:r>
        <w:rPr>
          <w:rFonts w:ascii="Arial" w:cs="Arial" w:eastAsia="Arial" w:hAnsi="Arial"/>
          <w:color w:val="4A5568"/>
          <w:sz w:val="18"/>
          <w:szCs w:val="18"/>
        </w:rPr>
        <w:t xml:space="preserve">WP-2026-MAP-CI-01 · C. George · March 2026</w:t>
      </w:r>
    </w:p>
    <w:p>
      <w:pPr>
        <w:spacing w:before="0" w:after="40"/>
      </w:pPr>
      <w:r>
        <w:rPr>
          <w:rFonts w:ascii="Arial" w:cs="Arial" w:eastAsia="Arial" w:hAnsi="Arial"/>
          <w:b/>
          <w:bCs/>
          <w:caps/>
          <w:color w:val="4A5568"/>
          <w:sz w:val="18"/>
          <w:szCs w:val="18"/>
        </w:rPr>
        <w:t xml:space="preserve">CENTER FOR COMPETITIVE STATECRAFT AND STRATEGIC POLICY</w:t>
      </w:r>
    </w:p>
    <w:p>
      <w:pPr>
        <w:spacing w:before="0" w:after="200"/>
      </w:pPr>
      <w:r>
        <w:rPr>
          <w:rFonts w:ascii="Arial" w:cs="Arial" w:eastAsia="Arial" w:hAnsi="Arial"/>
          <w:b/>
          <w:bCs/>
          <w:caps/>
          <w:color w:val="4A5568"/>
          <w:sz w:val="18"/>
          <w:szCs w:val="18"/>
        </w:rPr>
        <w:t xml:space="preserve">WP-2026 SERIES</w:t>
      </w:r>
    </w:p>
    <w:p>
      <w:pPr>
        <w:spacing w:before="0" w:after="60"/>
      </w:pPr>
      <w:r>
        <w:rPr>
          <w:rFonts w:ascii="Arial" w:cs="Arial" w:eastAsia="Arial" w:hAnsi="Arial"/>
          <w:b/>
          <w:bCs/>
          <w:color w:val="1B2A4A"/>
          <w:sz w:val="34"/>
          <w:szCs w:val="34"/>
        </w:rPr>
        <w:t xml:space="preserve">COUNTERINTELLIGENCE EXPOSURE ASSESSMENT:</w:t>
      </w:r>
    </w:p>
    <w:p>
      <w:pPr>
        <w:spacing w:before="0" w:after="60"/>
      </w:pPr>
      <w:r>
        <w:rPr>
          <w:rFonts w:ascii="Arial" w:cs="Arial" w:eastAsia="Arial" w:hAnsi="Arial"/>
          <w:b/>
          <w:bCs/>
          <w:color w:val="1B2A4A"/>
          <w:sz w:val="28"/>
          <w:szCs w:val="28"/>
        </w:rPr>
        <w:t xml:space="preserve">WP-2026 Interactive Map and Node Database</w:t>
      </w:r>
    </w:p>
    <w:p>
      <w:pPr>
        <w:spacing w:before="0" w:after="240"/>
      </w:pPr>
      <w:r>
        <w:rPr>
          <w:rFonts w:ascii="Arial" w:cs="Arial" w:eastAsia="Arial" w:hAnsi="Arial"/>
          <w:i/>
          <w:iCs/>
          <w:color w:val="4A5568"/>
          <w:sz w:val="22"/>
          <w:szCs w:val="22"/>
        </w:rPr>
        <w:t xml:space="preserve">SENI v4 Global Intelligence Map · 401-Node Database · Export Function · GitHub Pages Deployment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Working Paper</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WP-2026-MAP-CI-01</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Title</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Counterintelligence Exposure Assessment: WP-2026 Interactive Map and Node Database</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Assessment Date</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March 2026 (v1.4 — Style Guide v3.0 Compliant — Final)</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Unclassified // Open Source Analytic Product</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Subject</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SENI v4 Global Intelligence Map (401 nodes); embedded HTML node database; per-node satellite export function; GitHub Pages public deployment at collingeorge.github.io</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Relationship to Prior CI Assessments</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Standalone supplement to WP-2026-CI-Assessment v3.0 (series-level) and WP-2026-SENI-CI-01 (analytical sub-series documents). This document addresses the interactive map and embedded database specifically — exposure vectors distinct from document-based CI assessments.</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Methodology</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Open-source CI exposure methodology. Five dimensions applied to interactive product: (1) Source Code Accessibility; (2) Per-Node Export Function; (3) Satellite Imagery Integration; (4) Filter/Search Aggregation Capability; (5) GitHub Hosting and Indexing. Legal exposure assessed as sixth dimension by reference to WP-2026-SENI-CI-01 Part VI.</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Status</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FINAL — Style Guide v3.0 Compliant</w:t>
            </w:r>
          </w:p>
        </w:tc>
      </w:tr>
    </w:tbl>
    <w:p>
      <w:pPr>
        <w:spacing w:before="120" w:after="0"/>
      </w:pPr>
    </w:p>
    <w:p>
      <w:pPr>
        <w:pBdr>
          <w:left w:val="single" w:color="7A4000" w:sz="16" w:space="8"/>
        </w:pBdr>
        <w:shd w:fill="FEF3E2" w:val="clear"/>
        <w:spacing w:before="160" w:after="0"/>
        <w:ind w:left="240"/>
      </w:pPr>
      <w:r>
        <w:rPr>
          <w:rFonts w:ascii="Arial" w:cs="Arial" w:eastAsia="Arial" w:hAnsi="Arial"/>
          <w:b/>
          <w:bCs/>
          <w:caps/>
          <w:color w:val="7A4000"/>
          <w:sz w:val="18"/>
          <w:szCs w:val="18"/>
        </w:rPr>
        <w:t xml:space="preserve">Notice — Scope and Methodology</w:t>
      </w:r>
    </w:p>
    <w:p>
      <w:pPr>
        <w:pBdr>
          <w:left w:val="single" w:color="7A4000" w:sz="16" w:space="8"/>
        </w:pBdr>
        <w:shd w:fill="FEF3E2" w:val="clear"/>
        <w:spacing w:before="40" w:after="160"/>
        <w:ind w:left="240"/>
      </w:pPr>
      <w:r>
        <w:rPr>
          <w:rFonts w:ascii="Arial" w:cs="Arial" w:eastAsia="Arial" w:hAnsi="Arial"/>
          <w:color w:val="000000"/>
          <w:sz w:val="20"/>
          <w:szCs w:val="20"/>
        </w:rPr>
        <w:t xml:space="preserve">Independent policy research. Open-source CI exposure methodology applied to a publicly hosted interactive HTML product. No classified information used or referenced. Adversary utility assessments are analytically inferred from product capabilities and known adversary OSINT collection practices — not intelligence reporting. The map is published and should be treated as already collected by adversary OSINT programs. This assessment does not recommend retraction; retraction carries no CI benefit and significant academic and demonstration cost. UNCLASSIFIED // OPEN SOURCE ANALYTIC PRODUCT.</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High Confidence · Analytically Inferred</w:t>
            </w:r>
          </w:p>
          <w:p>
            <w:pPr>
              <w:spacing w:before="20" w:after="40"/>
            </w:pPr>
            <w:r>
              <w:rPr>
                <w:rFonts w:ascii="Arial" w:cs="Arial" w:eastAsia="Arial" w:hAnsi="Arial"/>
                <w:color w:val="000000"/>
                <w:sz w:val="20"/>
                <w:szCs w:val="20"/>
              </w:rPr>
              <w:t xml:space="preserve">The SENI v4 interactive map constitutes a complete machine-readable enforcement targeting database — 401 nodes with precise coordinates, enforcement theory, legal authority citations, and tier classifications — embedded in a single publicly accessible HTML file of 325 KB that is retrievable in a single HTTP request without authentication, rendering per-node analytical work instantly accessible to adversary OSINT programs without requiring analysis of any companion document.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Moderate-High Confidence · Analytically Inferred</w:t>
            </w:r>
          </w:p>
          <w:p>
            <w:pPr>
              <w:spacing w:before="20" w:after="40"/>
            </w:pPr>
            <w:r>
              <w:rPr>
                <w:rFonts w:ascii="Arial" w:cs="Arial" w:eastAsia="Arial" w:hAnsi="Arial"/>
                <w:color w:val="000000"/>
                <w:sz w:val="20"/>
                <w:szCs w:val="20"/>
              </w:rPr>
              <w:t xml:space="preserve">The per-node satellite export function is assessed as the map's highest single-capability CI exposure vector: it generates a downloadable PDF combining ArcGIS World Imagery satellite photography of the precise facility location with the complete enforcement theory, legal authority citations, and tier classification for that node — creating a ready-to-use reference product for nodes with stable infrastructure and frequent ArcGIS coverage updates (NIIAR Dimitrovgrad, ChMP Glazov, Mayak, Elektrostal, named Western counterparty facilities). For active-construction nodes (Makran Node 3, Pickaxe Mountain) and remote ZATO facilities, imagery vintage of 18–36 months limits operational currency; the export is a reference product, not a current targeting product. [MODERATE CONFIDENCE overall; HIGH CONFIDENCE for stable-infrastructure nodes 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 Confidence · Analytically Inferred</w:t>
            </w:r>
          </w:p>
          <w:p>
            <w:pPr>
              <w:spacing w:before="20" w:after="40"/>
            </w:pPr>
            <w:r>
              <w:rPr>
                <w:rFonts w:ascii="Arial" w:cs="Arial" w:eastAsia="Arial" w:hAnsi="Arial"/>
                <w:color w:val="000000"/>
                <w:sz w:val="20"/>
                <w:szCs w:val="20"/>
              </w:rPr>
              <w:t xml:space="preserve">The map's filter and search architecture is assessed as producing aggregation risk qualitatively distinct from document-based CI exposure: a user filtering to a single network group (e.g., "Russia Nuclear Fuel Cycle," "Iran Nuclear," "DPRK") receives an immediately curated register of all nodes in that targeting set with enforcement status, legal authority citations, and action theory — a capability that replicates in seconds an analytical product that required months to build.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High Confidence · Documented</w:t>
            </w:r>
          </w:p>
          <w:p>
            <w:pPr>
              <w:spacing w:before="20" w:after="40"/>
            </w:pPr>
            <w:r>
              <w:rPr>
                <w:rFonts w:ascii="Arial" w:cs="Arial" w:eastAsia="Arial" w:hAnsi="Arial"/>
                <w:color w:val="000000"/>
                <w:sz w:val="20"/>
                <w:szCs w:val="20"/>
              </w:rPr>
              <w:t xml:space="preserve">The legal exposure of the interactive map and embedded database is assessed as very low — identical to the WP-2026-SENI-CI-01 Part VI determination. All node data is derived from public sources. The map's analytical content is constitutionally protected. No statute identified in the legal analysis applies. The per-node satellite imagery is sourced from ArcGIS World Imagery, a publicly available commercial tile 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 Confidence · Analytically Inferred</w:t>
            </w:r>
          </w:p>
          <w:p>
            <w:pPr>
              <w:spacing w:before="20" w:after="40"/>
            </w:pPr>
            <w:r>
              <w:rPr>
                <w:rFonts w:ascii="Arial" w:cs="Arial" w:eastAsia="Arial" w:hAnsi="Arial"/>
                <w:color w:val="000000"/>
                <w:sz w:val="20"/>
                <w:szCs w:val="20"/>
              </w:rPr>
              <w:t xml:space="preserve">The map's GitHub Pages deployment creates three distinct indexing exposure vectors beyond the analytical documents: (1) search engine indexing of the interactive product URL makes the map discoverable to any adversary OSINT program conducting keyword searches on WP-2026 series content — this is passive/broad collection requiring no prior knowledge of the repository; (2) the raw GitHub repository URL (raw.githubusercontent.com/collingeorge/WP-2026/main/07-intelligence-map/SENI_v4_Global_Map_FINAL.html) provides direct access to the HTML source with all embedded node data, bypassing the interactive interface entirely — this is active/targeted collection by an adversary who already knows the repository exists, representing a distinct and higher-capability collection posture than search engine discovery; and (3) the public commit history functions as a methodological confidence map — commit density, message specificity, and revision sequence by domain disclose which analytical domains received the most iterative development (higher evidentiary confidence) versus which were added quickly (thinner analytical basis), constituting a domain-level confidence assessment accessible without engaging the analytical documents themselves.</w:t>
            </w:r>
          </w:p>
        </w:tc>
      </w:tr>
    </w:tbl>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 — PRODUCT ARCHITECTURE AND EXPOSURE PROFILE</w:t>
      </w:r>
    </w:p>
    <w:p>
      <w:pPr>
        <w:spacing w:before="280" w:after="100"/>
      </w:pPr>
      <w:r>
        <w:rPr>
          <w:rFonts w:ascii="Arial" w:cs="Arial" w:eastAsia="Arial" w:hAnsi="Arial"/>
          <w:b/>
          <w:bCs/>
          <w:color w:val="1B2A4A"/>
          <w:sz w:val="24"/>
          <w:szCs w:val="24"/>
        </w:rPr>
        <w:t xml:space="preserve">1.1 Product Description</w:t>
      </w:r>
    </w:p>
    <w:p>
      <w:pPr>
        <w:spacing w:before="60" w:after="100"/>
        <w:jc w:val="both"/>
      </w:pPr>
      <w:r>
        <w:rPr>
          <w:rFonts w:ascii="Arial" w:cs="Arial" w:eastAsia="Arial" w:hAnsi="Arial"/>
          <w:color w:val="000000"/>
          <w:sz w:val="22"/>
          <w:szCs w:val="22"/>
        </w:rPr>
        <w:t xml:space="preserve">The SENI v4 Global Intelligence Map is a single-file HTML interactive application (325.4 KB) hosted on GitHub Pages at collingeorge.github.io/WP-2026/07-intelligence-map/SENI_v4_Global_Map_FINAL.html. The file embeds the complete WP-2026 node database as a JavaScript array of 401 structured objects within the HTML source. Each node object contains eight data fields: node ID, name, coordinates (latitude/longitude), status classification, analytical category, location description, operator/structure, display coordinates, enforcement theory and action text, Tier I priority flag, and supplemental intelligence notes. The application renders an interactive Leaflet.js map using ArcGIS World Imagery satellite tiles as the base layer.</w:t>
      </w:r>
    </w:p>
    <w:p>
      <w:pPr>
        <w:spacing w:before="60" w:after="100"/>
        <w:jc w:val="both"/>
      </w:pPr>
      <w:r>
        <w:rPr>
          <w:rFonts w:ascii="Arial" w:cs="Arial" w:eastAsia="Arial" w:hAnsi="Arial"/>
          <w:color w:val="000000"/>
          <w:sz w:val="22"/>
          <w:szCs w:val="22"/>
        </w:rPr>
        <w:t xml:space="preserve">The embedded database is not behind an API — it is rendered directly in the HTML source. Any user who downloads the HTML file or views the page source has immediate access to all 401 node definitions in structured JavaScript object notation, readable without specialized tools.</w:t>
      </w:r>
    </w:p>
    <w:p>
      <w:pPr>
        <w:spacing w:before="120" w:after="0"/>
      </w:pPr>
    </w:p>
    <w:p>
      <w:pPr>
        <w:spacing w:before="280" w:after="100"/>
      </w:pPr>
      <w:r>
        <w:rPr>
          <w:rFonts w:ascii="Arial" w:cs="Arial" w:eastAsia="Arial" w:hAnsi="Arial"/>
          <w:b/>
          <w:bCs/>
          <w:color w:val="1B2A4A"/>
          <w:sz w:val="24"/>
          <w:szCs w:val="24"/>
        </w:rPr>
        <w:t xml:space="preserve">1.2 The Five CI Exposure Vectors</w:t>
      </w:r>
    </w:p>
    <w:p>
      <w:pPr>
        <w:spacing w:before="200" w:after="80"/>
      </w:pPr>
      <w:r>
        <w:rPr>
          <w:rFonts w:ascii="Arial" w:cs="Arial" w:eastAsia="Arial" w:hAnsi="Arial"/>
          <w:b/>
          <w:bCs/>
          <w:color w:val="4A5568"/>
          <w:sz w:val="22"/>
          <w:szCs w:val="22"/>
        </w:rPr>
        <w:t xml:space="preserve">Vector 1 — Single-File Machine-Readable Database</w:t>
      </w:r>
    </w:p>
    <w:p>
      <w:pPr>
        <w:spacing w:before="60" w:after="100"/>
        <w:jc w:val="both"/>
      </w:pPr>
      <w:r>
        <w:rPr>
          <w:rFonts w:ascii="Arial" w:cs="Arial" w:eastAsia="Arial" w:hAnsi="Arial"/>
          <w:color w:val="000000"/>
          <w:sz w:val="22"/>
          <w:szCs w:val="22"/>
        </w:rPr>
        <w:t xml:space="preserve">The complete 401-node analytical register is embedded in a single 325 KB HTML file retrievable via one HTTP GET request. This means: the entire WP-2026 enforcement targeting database — spanning Russian energy infrastructure, Iranian nuclear facilities, DPRK weapons programs, BRI strategic infrastructure, cartel finance networks, terrorist financing nodes, and Russian nuclear fuel cycle facilities — is accessible to any adversary OSINT collection system capable of making an HTTP request. The analytical labor of 60 days of production is extractable in under one second.</w:t>
      </w:r>
    </w:p>
    <w:p>
      <w:pPr>
        <w:spacing w:before="60" w:after="100"/>
        <w:jc w:val="both"/>
      </w:pPr>
      <w:r>
        <w:rPr>
          <w:rFonts w:ascii="Arial" w:cs="Arial" w:eastAsia="Arial" w:hAnsi="Arial"/>
          <w:color w:val="000000"/>
          <w:sz w:val="22"/>
          <w:szCs w:val="22"/>
        </w:rPr>
        <w:t xml:space="preserve">The structured JavaScript object format is directly parseable by automated collection tools without HTML parsing. A Python script of five lines extracts all 401 nodes with full enforcement text. This is not a theoretical risk — it is the designed behavior of a public web application. The assessment is not that this is a vulnerability to be closed; it is the designed purpose of the product. The CI assessment notes it because adversary services will have collected it.</w:t>
      </w:r>
    </w:p>
    <w:p>
      <w:pPr>
        <w:pBdr>
          <w:left w:val="single" w:color="1A5C2E" w:sz="16" w:space="8"/>
        </w:pBdr>
        <w:shd w:fill="EAF4EC" w:val="clear"/>
        <w:spacing w:before="160" w:after="0"/>
        <w:ind w:left="240"/>
      </w:pPr>
      <w:r>
        <w:rPr>
          <w:rFonts w:ascii="Arial" w:cs="Arial" w:eastAsia="Arial" w:hAnsi="Arial"/>
          <w:b/>
          <w:bCs/>
          <w:caps/>
          <w:color w:val="1A5C2E"/>
          <w:sz w:val="18"/>
          <w:szCs w:val="18"/>
        </w:rPr>
        <w:t xml:space="preserve">Documented Structural Constraint [HIGH CONFIDENCE]</w:t>
      </w:r>
    </w:p>
    <w:p>
      <w:pPr>
        <w:pBdr>
          <w:left w:val="single" w:color="1A5C2E" w:sz="16" w:space="8"/>
        </w:pBdr>
        <w:shd w:fill="EAF4EC" w:val="clear"/>
        <w:spacing w:before="40" w:after="160"/>
        <w:ind w:left="240"/>
      </w:pPr>
      <w:r>
        <w:rPr>
          <w:rFonts w:ascii="Arial" w:cs="Arial" w:eastAsia="Arial" w:hAnsi="Arial"/>
          <w:color w:val="000000"/>
          <w:sz w:val="20"/>
          <w:szCs w:val="20"/>
        </w:rPr>
        <w:t xml:space="preserve">The machine-readable format is a feature, not a defect. The map's academic and demonstration value — showing an IC or think tank audience a live, interactive, satellite-integrated enforcement register — requires the data to be accessible. The CI tradeoff was accepted at the design stage and is consistent with the open-source publication posture of the WP-2026 series. Retraction or obfuscation of the data would defeat the product's purpose without meaningfully constraining adversary collection, which can reconstruct the underlying data from the companion documents independently.</w:t>
      </w:r>
    </w:p>
    <w:p>
      <w:pPr>
        <w:spacing w:before="120" w:after="0"/>
      </w:pPr>
    </w:p>
    <w:p>
      <w:pPr>
        <w:spacing w:before="200" w:after="80"/>
      </w:pPr>
      <w:r>
        <w:rPr>
          <w:rFonts w:ascii="Arial" w:cs="Arial" w:eastAsia="Arial" w:hAnsi="Arial"/>
          <w:b/>
          <w:bCs/>
          <w:color w:val="4A5568"/>
          <w:sz w:val="22"/>
          <w:szCs w:val="22"/>
        </w:rPr>
        <w:t xml:space="preserve">Vector 2 — Per-Node Satellite Export Function</w:t>
      </w:r>
    </w:p>
    <w:p>
      <w:pPr>
        <w:spacing w:before="60" w:after="100"/>
        <w:jc w:val="both"/>
      </w:pPr>
      <w:r>
        <w:rPr>
          <w:rFonts w:ascii="Arial" w:cs="Arial" w:eastAsia="Arial" w:hAnsi="Arial"/>
          <w:color w:val="000000"/>
          <w:sz w:val="22"/>
          <w:szCs w:val="22"/>
        </w:rPr>
        <w:t xml:space="preserve">The map's export function generates a formatted PDF for any individual node combining: (1) the node's full enforcement theory and action text; (2) legal authority citations; (3) tier classification and status; (4) operator/structure identification; (5) supplemental intelligence notes; and (6) ArcGIS World Imagery satellite photography of the precise facility location at the node's stored coordinates, fetched in real time via the ArcGIS REST export API.</w:t>
      </w:r>
    </w:p>
    <w:p>
      <w:pPr>
        <w:spacing w:before="60" w:after="100"/>
        <w:jc w:val="both"/>
      </w:pPr>
      <w:r>
        <w:rPr>
          <w:rFonts w:ascii="Arial" w:cs="Arial" w:eastAsia="Arial" w:hAnsi="Arial"/>
          <w:color w:val="000000"/>
          <w:sz w:val="22"/>
          <w:szCs w:val="22"/>
        </w:rPr>
        <w:t xml:space="preserve">The CI significance of the satellite export function is that it combines analytical targeting content with current satellite imagery of the facility in a single downloadable product requiring no additional collection or analytical capability to use operationally. For nodes with significant physical infrastructure — Makran Node 3 (pre-operational Iranian coastal complex), Pickaxe Mountain (covert centrifuge facility), Yongbyon Nuclear Complex, NIIAR Dimitrovgrad, ChMP Glazov — the export generates a ready-to-use targeting profile. The satellite imagery is ArcGIS World Imagery, a public commercial service; the coordinates and facility identification are from the WP-2026 analytical corpus.</w:t>
      </w:r>
    </w:p>
    <w:p>
      <w:pPr>
        <w:pBdr>
          <w:left w:val="single" w:color="7A4000" w:sz="16" w:space="8"/>
        </w:pBdr>
        <w:shd w:fill="FEF3E2" w:val="clear"/>
        <w:spacing w:before="160" w:after="0"/>
        <w:ind w:left="240"/>
      </w:pPr>
      <w:r>
        <w:rPr>
          <w:rFonts w:ascii="Arial" w:cs="Arial" w:eastAsia="Arial" w:hAnsi="Arial"/>
          <w:b/>
          <w:bCs/>
          <w:caps/>
          <w:color w:val="7A4000"/>
          <w:sz w:val="18"/>
          <w:szCs w:val="18"/>
        </w:rPr>
        <w:t xml:space="preserve">Implementation Friction</w:t>
      </w:r>
    </w:p>
    <w:p>
      <w:pPr>
        <w:pBdr>
          <w:left w:val="single" w:color="7A4000" w:sz="16" w:space="8"/>
        </w:pBdr>
        <w:shd w:fill="FEF3E2" w:val="clear"/>
        <w:spacing w:before="40" w:after="160"/>
        <w:ind w:left="240"/>
      </w:pPr>
      <w:r>
        <w:rPr>
          <w:rFonts w:ascii="Arial" w:cs="Arial" w:eastAsia="Arial" w:hAnsi="Arial"/>
          <w:color w:val="000000"/>
          <w:sz w:val="20"/>
          <w:szCs w:val="20"/>
        </w:rPr>
        <w:t xml:space="preserve">The satellite imagery in the export is ArcGIS World Imagery — a composite mosaic with variable vintage (6 months to 3 years depending on region). The map itself carries a caveat that imagery vintage varies and current change detection requires Sentinel-2 or Planet Labs. The export function is therefore a current-imagery product only for nodes in frequently-updated ArcGIS coverage areas. For remote facilities (Makran coast, Siberian ZATO complexes) the imagery may be 18–36 months old. This limits the operational utility of the satellite export for facilities where construction tempo is the analytically significant variable. [MODERATE CONFIDENCE on imagery currency limitation]</w:t>
      </w:r>
    </w:p>
    <w:p>
      <w:pPr>
        <w:spacing w:before="120" w:after="0"/>
      </w:pPr>
    </w:p>
    <w:p>
      <w:pPr>
        <w:spacing w:before="200" w:after="80"/>
      </w:pPr>
      <w:r>
        <w:rPr>
          <w:rFonts w:ascii="Arial" w:cs="Arial" w:eastAsia="Arial" w:hAnsi="Arial"/>
          <w:b/>
          <w:bCs/>
          <w:color w:val="4A5568"/>
          <w:sz w:val="22"/>
          <w:szCs w:val="22"/>
        </w:rPr>
        <w:t xml:space="preserve">Vector 3 — Filter and Search Aggregation</w:t>
      </w:r>
    </w:p>
    <w:p>
      <w:pPr>
        <w:spacing w:before="60" w:after="100"/>
        <w:jc w:val="both"/>
      </w:pPr>
      <w:r>
        <w:rPr>
          <w:rFonts w:ascii="Arial" w:cs="Arial" w:eastAsia="Arial" w:hAnsi="Arial"/>
          <w:color w:val="000000"/>
          <w:sz w:val="22"/>
          <w:szCs w:val="22"/>
        </w:rPr>
        <w:t xml:space="preserve">The sidebar filter architecture allows a user to select any combination of network group, status classification, and node name to produce a filtered register of nodes. The 25 network groups correspond directly to the WP-2026 analytical domains: Russia Nuclear Fuel Cycle (27 nodes: enrichment cluster — UECC/SCC/ECP/AECC; fabrication — Elektrostal/NCCP/ChMP; reprocessing — Mayak/GKhK; weapons complex — Sarov/Trekhgorny/Lesnoy/Snezhinsk; research reactors — NIIAR/PNPI/VNIINM; transport — Tayshet/Vanino/Zabaykalsk; Western counterparties — Lantheus/Nordion/CEZ/MVM Paks/Fortum/Slovenske elektrarne), Iran Nuclear (13 nodes), DPRK (13 nodes), BRI Strategic Infrastructure (36 nodes), Cartels / Narcotics, Hezbollah, Hamas, and so on. [Note: the nuclear fuel cycle node count reflects the SENI corpus addition of nodes 7001–7027; prior map versions contained only the Krasnokamensk mining node in this group.]</w:t>
      </w:r>
    </w:p>
    <w:p>
      <w:pPr>
        <w:spacing w:before="60" w:after="100"/>
        <w:jc w:val="both"/>
      </w:pPr>
      <w:r>
        <w:rPr>
          <w:rFonts w:ascii="Arial" w:cs="Arial" w:eastAsia="Arial" w:hAnsi="Arial"/>
          <w:color w:val="000000"/>
          <w:sz w:val="22"/>
          <w:szCs w:val="22"/>
        </w:rPr>
        <w:t xml:space="preserve">A user filtering to "Russia Nuclear Fuel Cycle" receives an immediately curated register of all 27 nuclear fuel cycle nodes — enrichment, fabrication, reprocessing, weapons design, transport, and Western counterparties — with enforcement status, legal authority citations, and action theory, plus satellite export capability for each. This is qualitatively stronger than the pre-SENI version of the map, which had only the Krasnokamensk mining node in this group. The 27-node register spans the complete fuel cycle from mining feedstock through warhead assembly and includes the FPA counterparty nodes (Lantheus Medical Imaging, Nordion, CEZ, MVM Paks, Fortum, Slovenske elektrarne) — meaning the filter produces not only Russian facility targeting profiles but also the named Western financial counterparties and their FPA-01/FPA-02 enforcement chain analysis in a single curated view. This replicates in seconds the curated node register of the complete SENI nuclear fuel cycle group — the filter output is not equivalent to the analytical documents (it lacks KJ structure, confidence tiering, evidentiary basis, and gap registers), but it provides the enforcement status, legal authority citations, and action theory for all 27 nodes in a single filterable view, reducing the analytical mediation required to identify enforcement priority conclusions. One important bound on this aggregation risk: the map discloses status classifications and enforcement theory (which nodes are TARGETABLE versus CONSTRAINED, which legal authorities apply) but not the quantitative scoring basis for those classifications. The SCORE-01-v2 dimension scores, hard-stop conditions, and confidence modifiers that generated the status assignment are not embedded in the map’s action text. An adversary reading the filter output cannot reverse-engineer the scoring thresholds from the map alone — the map enforces the output of the scoring model without exposing the model itself. The aggregation risk is real and significant; it is bounded by this non-disclosure of the analytical methodology underlying the status assignments. The filter capability is the aggregation risk in interactive form: it produces adversary-tailored curated registers on demand, with the nuclear fuel cycle group now representing the highest-density single-filter CI exposure in the map.</w:t>
      </w:r>
    </w:p>
    <w:p>
      <w:pPr>
        <w:spacing w:before="120" w:after="0"/>
      </w:pPr>
    </w:p>
    <w:p>
      <w:pPr>
        <w:spacing w:before="200" w:after="80"/>
      </w:pPr>
      <w:r>
        <w:rPr>
          <w:rFonts w:ascii="Arial" w:cs="Arial" w:eastAsia="Arial" w:hAnsi="Arial"/>
          <w:b/>
          <w:bCs/>
          <w:color w:val="4A5568"/>
          <w:sz w:val="22"/>
          <w:szCs w:val="22"/>
        </w:rPr>
        <w:t xml:space="preserve">Vector 4 — Satellite Tile Source</w:t>
      </w:r>
    </w:p>
    <w:p>
      <w:pPr>
        <w:spacing w:before="60" w:after="100"/>
        <w:jc w:val="both"/>
      </w:pPr>
      <w:r>
        <w:rPr>
          <w:rFonts w:ascii="Arial" w:cs="Arial" w:eastAsia="Arial" w:hAnsi="Arial"/>
          <w:color w:val="000000"/>
          <w:sz w:val="22"/>
          <w:szCs w:val="22"/>
        </w:rPr>
        <w:t xml:space="preserve">The map uses ArcGIS World Imagery tiles as the base layer, fetched in real time from server.arcgisonline.com. The satellite export function uses the ArcGIS REST export endpoint at services.arcgisonline.com. Both are public commercial services with no authentication requirement. The CI assessment of this vector is low: ArcGIS World Imagery is publicly available to any user, and the map's use of it does not expose any non-public imagery. The significance is that the export function dynamically combines public satellite imagery with non-public analytical content (the WP-2026 enforcement theory) at the moment of export — a capability the satellite imagery provider alone does not offer.</w:t>
      </w:r>
    </w:p>
    <w:p>
      <w:pPr>
        <w:spacing w:before="120" w:after="0"/>
      </w:pPr>
    </w:p>
    <w:p>
      <w:pPr>
        <w:spacing w:before="200" w:after="80"/>
      </w:pPr>
      <w:r>
        <w:rPr>
          <w:rFonts w:ascii="Arial" w:cs="Arial" w:eastAsia="Arial" w:hAnsi="Arial"/>
          <w:b/>
          <w:bCs/>
          <w:color w:val="4A5568"/>
          <w:sz w:val="22"/>
          <w:szCs w:val="22"/>
        </w:rPr>
        <w:t xml:space="preserve">Vector 5 — GitHub Hosting and Indexing</w:t>
      </w:r>
    </w:p>
    <w:p>
      <w:pPr>
        <w:spacing w:before="60" w:after="100"/>
        <w:jc w:val="both"/>
      </w:pPr>
      <w:r>
        <w:rPr>
          <w:rFonts w:ascii="Arial" w:cs="Arial" w:eastAsia="Arial" w:hAnsi="Arial"/>
          <w:color w:val="000000"/>
          <w:sz w:val="22"/>
          <w:szCs w:val="22"/>
        </w:rPr>
        <w:t xml:space="preserve">The map is hosted on GitHub Pages (collingeorge.github.io) and indexed by major search engines. Two distinct GitHub exposure pathways exist. First, the Pages URL is the interactive product endpoint — discoverable via keyword search on "SENI enforcement node," "WP-2026 map," or related terms by any adversary OSINT program conducting open-source collection on the WP-2026 series. Second, the raw GitHub repository URL (raw.githubusercontent.com/collingeorge/WP-2026/main/07-intelligence-map/SENI_v4_Global_Map_FINAL.html) provides direct access to the full HTML source including all embedded node data, bypassing the interactive interface entirely. Both pathways are accessible without authentication and have been accessible since the initial map push to the repository.</w:t>
      </w:r>
    </w:p>
    <w:p>
      <w:pPr>
        <w:spacing w:before="60" w:after="100"/>
        <w:jc w:val="both"/>
      </w:pPr>
      <w:r>
        <w:rPr>
          <w:rFonts w:ascii="Arial" w:cs="Arial" w:eastAsia="Arial" w:hAnsi="Arial"/>
          <w:color w:val="000000"/>
          <w:sz w:val="22"/>
          <w:szCs w:val="22"/>
        </w:rPr>
        <w:t xml:space="preserve">Git commit history is also public — it documents the addition of specific node sets (BRI layer, nuclear fuel cycle layer, Hormuz crisis nodes) with timestamps and commit messages, creating a development timeline that discloses when specific analytical domains were added to the register. The CI significance of commit history extends beyond simple timeline disclosure: an adversary analyst reading the full commit sequence can infer the relative analytical maturity of each domain from the number of commits, the specificity of commit messages, and the gap between initial addition and subsequent revision passes. Domains with many iterative commits (Russia-China Energy, Iran Nuclear, BRI) signal higher analytical confidence and deeper evidentiary development than domains added in single commits late in the development sequence. This constitutes a methodological exposure — the commit history effectively functions as a confidence map of the analytical corpus, disclosing which domains the WP-2026 framework treats as most evidentiary developed versus most inferential. Adversary analysts assessing the analytical basis for specific enforcement threats can use this to calibrate where the evidentiary foundation is strongest and where continued opacity is likely to be analytically effective.</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II — ADVERSARY-SPECIFIC UTILITY ASSESSMENT</w:t>
      </w:r>
    </w:p>
    <w:p>
      <w:pPr>
        <w:spacing w:before="280" w:after="100"/>
      </w:pPr>
      <w:r>
        <w:rPr>
          <w:rFonts w:ascii="Arial" w:cs="Arial" w:eastAsia="Arial" w:hAnsi="Arial"/>
          <w:b/>
          <w:bCs/>
          <w:color w:val="1B2A4A"/>
          <w:sz w:val="24"/>
          <w:szCs w:val="24"/>
        </w:rPr>
        <w:t xml:space="preserve">2.1 Russia — SVR / FSB / GRU OSINT Collection</w:t>
      </w:r>
    </w:p>
    <w:p>
      <w:pPr>
        <w:spacing w:before="60" w:after="100"/>
        <w:jc w:val="both"/>
      </w:pPr>
      <w:r>
        <w:rPr>
          <w:rFonts w:ascii="Arial" w:cs="Arial" w:eastAsia="Arial" w:hAnsi="Arial"/>
          <w:color w:val="000000"/>
          <w:sz w:val="22"/>
          <w:szCs w:val="22"/>
        </w:rPr>
        <w:t xml:space="preserve">Russian adversary utility from the interactive map is assessed as significant and concentrated in two vectors. First, the filter capability applied to "Russia-China Energy" and "Russia Nuclear Fuel Cycle" network groups produces immediately curated registers of Russian infrastructure enforcement nodes with full enforcement theory — functionally equivalent to receiving the SENI-01 targeting matrix and nuclear sub-series in a single filtered view. The satellite export function for UECC, Seversk SCC, Mayak, and Zheleznogorsk GKhK nodes generates facility imagery combined with the complete CONSTRAINED/HARD-STOP analysis for each. [MODERATE CONFIDENCE, ANALYTICALLY INFERRED]</w:t>
      </w:r>
    </w:p>
    <w:p>
      <w:pPr>
        <w:spacing w:before="60" w:after="100"/>
        <w:jc w:val="both"/>
      </w:pPr>
      <w:r>
        <w:rPr>
          <w:rFonts w:ascii="Arial" w:cs="Arial" w:eastAsia="Arial" w:hAnsi="Arial"/>
          <w:color w:val="000000"/>
          <w:sz w:val="22"/>
          <w:szCs w:val="22"/>
        </w:rPr>
        <w:t xml:space="preserve">Second, the map's enforcement status coding (CONSTRAINED vs. TARGETABLE vs. MONITOR) provides a rapid visual prioritization of the enforcement landscape that requires no additional analysis to interpret. Nodes marked CONSTRAINED with HARD-STOP notation are visually distinct from TARGETABLE nodes — an adversary intelligence analyst surveying the map obtains an immediate visual assessment of which Russian assets the WP-2026 framework treats as enforcement-constrained versus immediately actionable. The public record does not establish direct evidence of Russian collection of the map; this assessment is analytically inferred from the product's accessibility and known SVR/FSB OSINT collection practices. [MODERATE CONFIDENCE]</w:t>
      </w:r>
    </w:p>
    <w:p>
      <w:pPr>
        <w:spacing w:before="120" w:after="0"/>
      </w:pPr>
    </w:p>
    <w:p>
      <w:pPr>
        <w:spacing w:before="280" w:after="100"/>
      </w:pPr>
      <w:r>
        <w:rPr>
          <w:rFonts w:ascii="Arial" w:cs="Arial" w:eastAsia="Arial" w:hAnsi="Arial"/>
          <w:b/>
          <w:bCs/>
          <w:color w:val="1B2A4A"/>
          <w:sz w:val="24"/>
          <w:szCs w:val="24"/>
        </w:rPr>
        <w:t xml:space="preserve">2.2 People's Republic of China — MSS</w:t>
      </w:r>
    </w:p>
    <w:p>
      <w:pPr>
        <w:spacing w:before="60" w:after="100"/>
        <w:jc w:val="both"/>
      </w:pPr>
      <w:r>
        <w:rPr>
          <w:rFonts w:ascii="Arial" w:cs="Arial" w:eastAsia="Arial" w:hAnsi="Arial"/>
          <w:color w:val="000000"/>
          <w:sz w:val="22"/>
          <w:szCs w:val="22"/>
        </w:rPr>
        <w:t xml:space="preserve">PRC utility is assessed as concentrated in the BRI Strategic Infrastructure filter. Filtering to "BRI Strategic Infrastructure" returns all 36 BRI nodes across four tiers with full enforcement theory, NEXUS-01 rung assessments, and satellite imagery export capability for each. The map makes visually accessible the four-tier analytical structure — Confirmed Dual-Use, Active Negotiation, Financial Leverage, Digital Infrastructure — in a format optimized for rapid operational consumption. The satellite export for Ream Naval Base (Pentagon-documented PLA construction), Haifa Bay Terminal (US Navy adjacency), and Chancay Port (Cosco operational facility) generates imagery-backed facility profiles. [MODERATE CONFIDENCE, ANALYTICALLY INFERRED]</w:t>
      </w:r>
    </w:p>
    <w:p>
      <w:pPr>
        <w:spacing w:before="60" w:after="100"/>
        <w:jc w:val="both"/>
      </w:pPr>
      <w:r>
        <w:rPr>
          <w:rFonts w:ascii="Arial" w:cs="Arial" w:eastAsia="Arial" w:hAnsi="Arial"/>
          <w:color w:val="000000"/>
          <w:sz w:val="22"/>
          <w:szCs w:val="22"/>
        </w:rPr>
        <w:t xml:space="preserve">The git commit history's documentation of when the BRI layer was added also discloses the analytical timeline — when WP-2026 analysis reached operational maturity for the BRI domain. The public record does not establish PRC collection of the map. [LOW-MODERATE CONFIDENCE on specific utility beyond independent BRI infrastructure assessment]</w:t>
      </w:r>
    </w:p>
    <w:p>
      <w:pPr>
        <w:spacing w:before="120" w:after="0"/>
      </w:pPr>
    </w:p>
    <w:p>
      <w:pPr>
        <w:spacing w:before="280" w:after="100"/>
      </w:pPr>
      <w:r>
        <w:rPr>
          <w:rFonts w:ascii="Arial" w:cs="Arial" w:eastAsia="Arial" w:hAnsi="Arial"/>
          <w:b/>
          <w:bCs/>
          <w:color w:val="1B2A4A"/>
          <w:sz w:val="24"/>
          <w:szCs w:val="24"/>
        </w:rPr>
        <w:t xml:space="preserve">2.3 Iran — MOIS / IRGC Intelligence</w:t>
      </w:r>
    </w:p>
    <w:p>
      <w:pPr>
        <w:spacing w:before="60" w:after="100"/>
        <w:jc w:val="both"/>
      </w:pPr>
      <w:r>
        <w:rPr>
          <w:rFonts w:ascii="Arial" w:cs="Arial" w:eastAsia="Arial" w:hAnsi="Arial"/>
          <w:color w:val="000000"/>
          <w:sz w:val="22"/>
          <w:szCs w:val="22"/>
        </w:rPr>
        <w:t xml:space="preserve">Iranian utility is assessed as moderate and concentrated in the Iran Nuclear and Hormuz Crisis / IRGC network groups. The Iran Nuclear filter returns 13 nodes including Natanz FEP, Fordow FFEP, Isfahan UCF, Pickaxe Mountain, Parchin Taleghan 1 and 2, and all nine Makran Coast nodes. The satellite export for Makran Node 3 (pre-operational large industrial complex), Node 7 (deep-water port), and Node 9 (fuel refinery) generates imagery of facilities assessed in WP-2026-INFRA-01 as constituting an emerging IRGC naval infrastructure complex — potentially disclosing the WP-2026 analytical assessment of these facilities to Iranian planners who may not have seen INFRA-01 specifically. [MODERATE CONFIDENCE, ANALYTICALLY INFERRED]</w:t>
      </w:r>
    </w:p>
    <w:p>
      <w:pPr>
        <w:spacing w:before="120" w:after="0"/>
      </w:pPr>
    </w:p>
    <w:p>
      <w:pPr>
        <w:spacing w:before="280" w:after="100"/>
      </w:pPr>
      <w:r>
        <w:rPr>
          <w:rFonts w:ascii="Arial" w:cs="Arial" w:eastAsia="Arial" w:hAnsi="Arial"/>
          <w:b/>
          <w:bCs/>
          <w:color w:val="1B2A4A"/>
          <w:sz w:val="24"/>
          <w:szCs w:val="24"/>
        </w:rPr>
        <w:t xml:space="preserve">2.4 DPRK — RGB / Reconnaissance General Bureau</w:t>
      </w:r>
    </w:p>
    <w:p>
      <w:pPr>
        <w:spacing w:before="60" w:after="100"/>
        <w:jc w:val="both"/>
      </w:pPr>
      <w:r>
        <w:rPr>
          <w:rFonts w:ascii="Arial" w:cs="Arial" w:eastAsia="Arial" w:hAnsi="Arial"/>
          <w:color w:val="000000"/>
          <w:sz w:val="22"/>
          <w:szCs w:val="22"/>
        </w:rPr>
        <w:t xml:space="preserve">DPRK utility is assessed as low. The DPRK filter returns 13 nodes. The map's analytical treatment of DPRK nodes is relatively thin compared to Russian and Iranian domains. Specifically: DPRK node action texts are shorter, carry more LOW-MODERATE confidence labels, and reference fewer Tier 1 sources than Russian or Iranian nodes as a class. This thinness is analytically correct — it reflects the genuine OSINT limitation across the DPRK domain — and means the filter output for the DPRK group has lower adversary utility than Russian or Iranian filters because the enforcement theory is less actionable as a class. Identifying which specific DPRK nodes carry the thinnest evidentiary basis within the group would itself constitute a gap disclosure beyond what the existing action text content warrants; that node-level characterization is omitted from this CI assessment consistent with the CONF-01 gap disclosure doctrine. The CONF-01 disclosure in SENI-CI-01 that four DPRK-adjacent hypotheses are analytically inferred at C3-C4 confidence applies equally to the map's node action texts. The satellite export for the DPRK group generates imagery of facilities already well-documented through 38 North, CSIS/AMS imagery analysis, and UN Panel of Experts reporting. The map's DPRK contribution is aggregation, not novel disclosure. [LOW CONFIDENCE on unique utility beyond independent collection]</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III — CONSOLIDATED RISK MATRIX</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900"/>
        <w:gridCol w:w="1200"/>
        <w:gridCol w:w="4260"/>
      </w:tblGrid>
      <w:tr>
        <w:trPr>
          <w:tblHeader/>
        </w:trPr>
        <w:tc>
          <w:tcPr>
            <w:tcW w:type="dxa" w:w="18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EXPOSURE VECTOR</w:t>
            </w:r>
          </w:p>
        </w:tc>
        <w:tc>
          <w:tcPr>
            <w:tcW w:type="dxa" w:w="36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9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c>
          <w:tcPr>
            <w:tcW w:type="dxa" w:w="12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c>
          <w:tcPr>
            <w:tcW w:type="dxa" w:w="426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ADVERSARY UTILITY</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Machine-Readable Database</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401-node JavaScript object array embedded in 325 KB HTML. Single HTTP request retrieves complete enforcement register. Directly parseable without HTML parsing tools.</w:t>
            </w:r>
          </w:p>
        </w:tc>
        <w:tc>
          <w:tcPr>
            <w:tcW w:type="dxa" w:w="900"/>
            <w:tcBorders>
              <w:top w:val="single" w:color="D0D5DE" w:sz="1"/>
              <w:left w:val="single" w:color="D0D5DE" w:sz="1"/>
              <w:bottom w:val="single" w:color="D0D5DE" w:sz="1"/>
              <w:right w:val="single" w:color="D0D5DE" w:sz="1"/>
            </w:tcBorders>
            <w:shd w:fill="FDECEC"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Complete WP-2026 targeting database extractable in under one second by any automated OSINT collection system. No analytical capability required. Equivalent to delivering the entire node register in structured data format.</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Per-Node Satellite Export</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Generates downloadable PDF combining full enforcement theory, legal authority citations, tier classification, and ArcGIS satellite imagery of precise facility location for any of 401 nodes on demand.</w:t>
            </w:r>
          </w:p>
        </w:tc>
        <w:tc>
          <w:tcPr>
            <w:tcW w:type="dxa" w:w="900"/>
            <w:tcBorders>
              <w:top w:val="single" w:color="D0D5DE" w:sz="1"/>
              <w:left w:val="single" w:color="D0D5DE" w:sz="1"/>
              <w:bottom w:val="single" w:color="D0D5DE" w:sz="1"/>
              <w:right w:val="single" w:color="D0D5DE" w:sz="1"/>
            </w:tcBorders>
            <w:shd w:fill="FEF3E2" w:val="clear"/>
            <w:tcMar>
              <w:top w:type="dxa" w:w="80"/>
              <w:left w:type="dxa" w:w="120"/>
              <w:bottom w:type="dxa" w:w="80"/>
              <w:right w:type="dxa" w:w="120"/>
            </w:tcMar>
            <w:vAlign w:val="center"/>
          </w:tcPr>
          <w:p>
            <w:pPr>
              <w:jc w:val="center"/>
            </w:pPr>
            <w:r>
              <w:rPr>
                <w:rFonts w:ascii="Arial" w:cs="Arial" w:eastAsia="Arial" w:hAnsi="Arial"/>
                <w:b/>
                <w:bCs/>
                <w:color w:val="D4880A"/>
                <w:sz w:val="17"/>
                <w:szCs w:val="17"/>
              </w:rPr>
              <w:t xml:space="preserve">HIGH</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MODERATE-HIGH</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Produces Reference-product facility profiles combining analytical content with satellite imagery. Fully ready-to-use for stable-infrastructure nodes with current ArcGIS coverage. Limited operational currency for active-construction and remote ZATO nodes (imagery 18–36 months old). Highest single-capability exposure vector for the stable-infrastructure subset.</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Filter/Search Aggregation</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 network group filters produce curated node registers on demand. Russia Nuclear Fuel Cycle (27 nodes), Iran Nuclear (13 nodes), DPRK (13 nodes), BRI (36 nodes) each retrievable in seconds with enforcement status, legal authority citations, and action theory.</w:t>
            </w:r>
          </w:p>
        </w:tc>
        <w:tc>
          <w:tcPr>
            <w:tcW w:type="dxa" w:w="900"/>
            <w:tcBorders>
              <w:top w:val="single" w:color="D0D5DE" w:sz="1"/>
              <w:left w:val="single" w:color="D0D5DE" w:sz="1"/>
              <w:bottom w:val="single" w:color="D0D5DE" w:sz="1"/>
              <w:right w:val="single" w:color="D0D5DE" w:sz="1"/>
            </w:tcBorders>
            <w:shd w:fill="FEF3E2" w:val="clear"/>
            <w:tcMar>
              <w:top w:type="dxa" w:w="80"/>
              <w:left w:type="dxa" w:w="120"/>
              <w:bottom w:type="dxa" w:w="80"/>
              <w:right w:type="dxa" w:w="120"/>
            </w:tcMar>
            <w:vAlign w:val="center"/>
          </w:tcPr>
          <w:p>
            <w:pPr>
              <w:jc w:val="center"/>
            </w:pPr>
            <w:r>
              <w:rPr>
                <w:rFonts w:ascii="Arial" w:cs="Arial" w:eastAsia="Arial" w:hAnsi="Arial"/>
                <w:b/>
                <w:bCs/>
                <w:color w:val="D4880A"/>
                <w:sz w:val="17"/>
                <w:szCs w:val="17"/>
              </w:rPr>
              <w:t xml:space="preserve">HIGH</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MODERATE</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Replicates in approximately 30 seconds the analytical output of domain-specific sub-series. Provides adversary-tailored curated targeting registers without requiring analysis of companion documents.</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GitHub Pages Indexing</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distinct vectors: (1) Search engine indexing — passive/broad discovery by keyword search, requires no prior repository knowledge; (2) Raw GitHub URL — active/targeted collection by adversary with prior repository awareness, bypasses interactive interface, delivers full HTML source in single request. Both publicly accessible without authentication. Git commit history additionally functions as a confidence map of the corpus: commit density per domain discloses relative analytical maturity and evidentiary depth by domain.</w:t>
            </w:r>
          </w:p>
        </w:tc>
        <w:tc>
          <w:tcPr>
            <w:tcW w:type="dxa" w:w="9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vAlign w:val="center"/>
          </w:tcPr>
          <w:p>
            <w:pPr>
              <w:jc w:val="center"/>
            </w:pPr>
            <w:r>
              <w:rPr>
                <w:rFonts w:ascii="Arial" w:cs="Arial" w:eastAsia="Arial" w:hAnsi="Arial"/>
                <w:b/>
                <w:bCs/>
                <w:color w:val="2471A3"/>
                <w:sz w:val="17"/>
                <w:szCs w:val="17"/>
              </w:rPr>
              <w:t xml:space="preserve">MODERATE</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Discoverable via keyword search. Raw URL provides direct HTML source access bypassing interactive interface. Commit history discloses when specific analytical domains reached operational maturity.</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Satellite Imagery Source</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ArcGIS World Imagery public tiles. Export combines public imagery with non-public analytical content. Imagery vintage variable (6 months to 3 years by region).</w:t>
            </w:r>
          </w:p>
        </w:tc>
        <w:tc>
          <w:tcPr>
            <w:tcW w:type="dxa" w:w="900"/>
            <w:tcBorders>
              <w:top w:val="single" w:color="D0D5DE" w:sz="1"/>
              <w:left w:val="single" w:color="D0D5DE" w:sz="1"/>
              <w:bottom w:val="single" w:color="D0D5DE" w:sz="1"/>
              <w:right w:val="single" w:color="D0D5DE"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C2E"/>
                <w:sz w:val="17"/>
                <w:szCs w:val="17"/>
              </w:rPr>
              <w:t xml:space="preserve">LOW</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ArcGIS imagery independently available. CI significance is the combination with WP-2026 analytical content, not the imagery alone. Vintage limitation reduces operational utility for active construction sites.</w:t>
            </w:r>
          </w:p>
        </w:tc>
      </w:tr>
      <w:tr>
        <w:tc>
          <w:tcPr>
            <w:tcW w:type="dxa" w:w="18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Legal Exposure</w:t>
            </w:r>
          </w:p>
        </w:tc>
        <w:tc>
          <w:tcPr>
            <w:tcW w:type="dxa" w:w="3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node data from public sources. ArcGIS World Imagery is a public commercial service. First Amendment protections apply. See WP-2026-SENI-CI-01 Part VI — identical legal determination applies.</w:t>
            </w:r>
          </w:p>
        </w:tc>
        <w:tc>
          <w:tcPr>
            <w:tcW w:type="dxa" w:w="900"/>
            <w:tcBorders>
              <w:top w:val="single" w:color="D0D5DE" w:sz="1"/>
              <w:left w:val="single" w:color="D0D5DE" w:sz="1"/>
              <w:bottom w:val="single" w:color="D0D5DE" w:sz="1"/>
              <w:right w:val="single" w:color="D0D5DE"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C2E"/>
                <w:sz w:val="17"/>
                <w:szCs w:val="17"/>
              </w:rPr>
              <w:t xml:space="preserve">LOW</w:t>
            </w:r>
          </w:p>
        </w:tc>
        <w:tc>
          <w:tcPr>
            <w:tcW w:type="dxa" w:w="120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42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statute identified. NDI element not satisfied. Constitutional protection at highest level for academic commentary on public-concern matters.</w:t>
            </w:r>
          </w:p>
        </w:tc>
      </w:tr>
    </w:tbl>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IV — LEGAL EXPOSURE ASSESSMENT</w:t>
      </w:r>
    </w:p>
    <w:p>
      <w:pPr>
        <w:spacing w:before="60" w:after="100"/>
        <w:jc w:val="both"/>
      </w:pPr>
      <w:r>
        <w:rPr>
          <w:rFonts w:ascii="Arial" w:cs="Arial" w:eastAsia="Arial" w:hAnsi="Arial"/>
          <w:color w:val="000000"/>
          <w:sz w:val="22"/>
          <w:szCs w:val="22"/>
        </w:rPr>
        <w:t xml:space="preserve">The legal exposure assessment for the interactive map and embedded database is identical to the determination in WP-2026-SENI-CI-01 Part VI and applies without modification. The following summarizes the key determinations by reference.</w:t>
      </w:r>
    </w:p>
    <w:p>
      <w:pPr>
        <w:spacing w:before="60" w:after="100"/>
        <w:jc w:val="both"/>
      </w:pPr>
      <w:r>
        <w:rPr>
          <w:rFonts w:ascii="Arial" w:cs="Arial" w:eastAsia="Arial" w:hAnsi="Arial"/>
          <w:color w:val="000000"/>
          <w:sz w:val="22"/>
          <w:szCs w:val="22"/>
        </w:rPr>
        <w:t xml:space="preserve">Espionage Act (18 U.S.C. §793): Not applicable. The embedded node database is derived entirely from public sources — OFAC SDN list, UN Panel of Experts reports, DoD open-source assessments, COSCO and China Merchants public filings, SEC EDGAR documents, AidData, EIA, and open-source academic literature. No National Defense Information element is satisfied. The ArcGIS satellite imagery is a public commercial tile service. Available precedent (Morison; Drake) is consistent with non-applicability.</w:t>
      </w:r>
    </w:p>
    <w:p>
      <w:pPr>
        <w:spacing w:before="60" w:after="100"/>
        <w:jc w:val="both"/>
      </w:pPr>
      <w:r>
        <w:rPr>
          <w:rFonts w:ascii="Arial" w:cs="Arial" w:eastAsia="Arial" w:hAnsi="Arial"/>
          <w:color w:val="000000"/>
          <w:sz w:val="22"/>
          <w:szCs w:val="22"/>
        </w:rPr>
        <w:t xml:space="preserve">AECA / ITAR (22 C.F.R. Parts 120–130): Not applicable. The map presents enforcement architecture analysis, not weapons design parameters or controlled technical specifications. ECCN citations in node action texts reference publicly available Commerce Control List entries.</w:t>
      </w:r>
    </w:p>
    <w:p>
      <w:pPr>
        <w:spacing w:before="60" w:after="100"/>
        <w:jc w:val="both"/>
      </w:pPr>
      <w:r>
        <w:rPr>
          <w:rFonts w:ascii="Arial" w:cs="Arial" w:eastAsia="Arial" w:hAnsi="Arial"/>
          <w:color w:val="000000"/>
          <w:sz w:val="22"/>
          <w:szCs w:val="22"/>
        </w:rPr>
        <w:t xml:space="preserve">First Amendment: Fully protective. The interactive map and embedded analytical content constitute protected academic and policy commentary on matters of public concern — U.S. sanctions enforcement law, nuclear nonproliferation policy, and strategic infrastructure analysis. Snyder v. Phelps protections apply at the highest level.</w:t>
      </w:r>
    </w:p>
    <w:p>
      <w:pPr>
        <w:pBdr>
          <w:left w:val="single" w:color="1A5C2E" w:sz="16" w:space="8"/>
        </w:pBdr>
        <w:shd w:fill="EAF4EC" w:val="clear"/>
        <w:spacing w:before="160" w:after="0"/>
        <w:ind w:left="240"/>
      </w:pPr>
      <w:r>
        <w:rPr>
          <w:rFonts w:ascii="Arial" w:cs="Arial" w:eastAsia="Arial" w:hAnsi="Arial"/>
          <w:b/>
          <w:bCs/>
          <w:caps/>
          <w:color w:val="1A5C2E"/>
          <w:sz w:val="18"/>
          <w:szCs w:val="18"/>
        </w:rPr>
        <w:t xml:space="preserve">Documented Structural Constraint [HIGH CONFIDENCE — Public Source Basis]</w:t>
      </w:r>
    </w:p>
    <w:p>
      <w:pPr>
        <w:pBdr>
          <w:left w:val="single" w:color="1A5C2E" w:sz="16" w:space="8"/>
        </w:pBdr>
        <w:shd w:fill="EAF4EC" w:val="clear"/>
        <w:spacing w:before="40" w:after="160"/>
        <w:ind w:left="240"/>
      </w:pPr>
      <w:r>
        <w:rPr>
          <w:rFonts w:ascii="Arial" w:cs="Arial" w:eastAsia="Arial" w:hAnsi="Arial"/>
          <w:color w:val="000000"/>
          <w:sz w:val="20"/>
          <w:szCs w:val="20"/>
        </w:rPr>
        <w:t xml:space="preserve">Every data element embedded in the map is derived from a publicly available source. The satellite imagery is ArcGIS World Imagery, a commercial public service. The node coordinates are derived from open-source geolocation of named facilities appearing in public regulatory filings, press releases, academic literature, and UN documentation. The enforcement theory is the analytical work product of the author derived from public legal authorities. Proactive disclosure of the map product and this CI assessment in SF-86 and adjudication proceedings is recommended, consistent with the guidance in WP-2026-CI-Assessment v3.0 Section 4.6 and WP-2026-SENI-CI-01 Section 8.4.</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V — RECOMMENDATIONS</w:t>
      </w:r>
    </w:p>
    <w:p>
      <w:pPr>
        <w:spacing w:before="280" w:after="100"/>
      </w:pPr>
      <w:r>
        <w:rPr>
          <w:rFonts w:ascii="Arial" w:cs="Arial" w:eastAsia="Arial" w:hAnsi="Arial"/>
          <w:b/>
          <w:bCs/>
          <w:color w:val="1B2A4A"/>
          <w:sz w:val="24"/>
          <w:szCs w:val="24"/>
        </w:rPr>
        <w:t xml:space="preserve">5.1 For Future Map Development</w:t>
      </w:r>
    </w:p>
    <w:p>
      <w:pPr>
        <w:spacing w:before="60" w:after="100"/>
        <w:jc w:val="both"/>
      </w:pPr>
      <w:r>
        <w:rPr>
          <w:rFonts w:ascii="Arial" w:cs="Arial" w:eastAsia="Arial" w:hAnsi="Arial"/>
          <w:color w:val="000000"/>
          <w:sz w:val="22"/>
          <w:szCs w:val="22"/>
        </w:rPr>
        <w:t xml:space="preserve">The machine-readable database format is the correct design decision for the product’s academic and demonstration purposes. Three partial architectural mitigations short of retraction were considered and assessed as follows. First, splitting the database from the rendering layer — serving the map UI from one endpoint and the node data from a separate authenticated API — would meaningfully constrain automated bulk extraction but would require rebuilding the product as a client-server application, defeating its current zero-dependency deployability on GitHub Pages. The CI benefit is real but the architectural cost eliminates the product’s primary demonstration advantage. Assessment: reject. Second, API-gating or rate-limiting the node export function would modestly constrain high-volume automated export but would not prevent manual per-node export of high-priority targets; a sophisticated adversary collecting 25 Tier 1 nodes over 25 separate requests is not meaningfully constrained. Assessment: marginal CI benefit, reject. Third, omitting the most sensitive action text from the embedded JavaScript object while preserving it in the companion documents — for example, removing the Wells Fargo chain text and D2=[4+] notation from the Lantheus node’s action field while keeping it in FPA-01-v3 — would reduce the map’s single-file extraction utility for the highest-sensitivity FPA nodes without removing the information from the series. This is the only partial mitigation assessed as providing meaningful CI benefit at acceptable cost to the product’s purpose. It is recommended for the most sensitive FPA counterparty nodes in future map versions: the action text field for Western financial nexus nodes should contain the enforcement chain summary and NEXUS-01 rung assessment, but not the explicit D2 gap notation or gap-closing evidence type. The companion document carries the full analysis; the map carries the actionable summary. Note on current deployment state: the SENI nuclear fuel cycle node addition (nodes 7001–7027) as currently pushed to the map contains the full FPA action text including the Wells Fargo chain notation and D2=[4+] gap disclosure for the Lantheus node. The partial redaction recommendation applies to the next update pass — the current deployment should be treated as already collected at the full disclosure level for CI assessment purposes. A fourth architectural option was considered and accepted: a client-side email registration or institutional affiliation gate on the export function specifically, leaving the map interface itself fully public and demonstrable while converting the satellite export from “available to any automated system” to “requires a human-initiated action.” This is architecturally distinct from full API-gating: the map retains its zero-dependency GitHub Pages deployability and full public accessibility; only the per-node PDF export function requires a simple token or email submission. The CI benefit is non-trivial — bulk automated export of all 401 node profiles with satellite imagery would require 401 separate human-initiated actions rather than a single scripted call. The architectural cost is low. This option is accepted as a recommended future implementation, prioritized for the next map update pass alongside the FPA node action text partial redaction. No change is recommended to the data accessibility model for Russian, Iranian, DPRK, and BRI infrastructure nodes. For future node additions involving particularly sensitive analytical assessments — designated financial institutions, named Western counterparties, specific evidentiary gap disclosures — consider whether the full detail belongs in the map’s action text field or whether the map should reference the companion document for full analytical depth, with the action text containing a summary sufficient for operational context but not the complete gap analysis. A specific case requiring attention: the Western financial counterparty nodes added in the SENI corpus update (Lantheus Medical Imaging/Billerica MA, Nordion/Ottawa, CEZ/Dukovany, MVM Paks, Fortum/Loviisa, Slovenske elektrarne/Mochovce) create a new CI profile not present in prior map versions. The satellite export function for these nodes generates ArcGIS imagery of Western commercial nuclear facilities — a U.S. radiopharmaceutical company, a Canadian isotope distributor, EU nuclear power stations — combined with the FPA-01/FPA-02 enforcement theory identifying them as named Western financial nexus entities in the Isotope JSC designation chain. This is a qualitatively different satellite export profile than Russian infrastructure nodes: it combines Western facility imagery with the analytical identification of those facilities as sanctionably connected entities. The guidance in WP-2026-SENI-CI-01 Section 8.1 on separating evidentiary standard documentation from named entity disclosure applies directly to the map’s treatment of FPA counterparty nodes. For future FPA additions, consider whether the map action text for Western counterparty nodes should contain the enforcement chain summary without the D2 gap notation — preserving the analytical identification while omitting the specific gap-closing evidence type that could inform evasion structuring.</w:t>
      </w:r>
    </w:p>
    <w:p>
      <w:pPr>
        <w:spacing w:before="120" w:after="0"/>
      </w:pPr>
    </w:p>
    <w:p>
      <w:pPr>
        <w:spacing w:before="280" w:after="100"/>
      </w:pPr>
      <w:r>
        <w:rPr>
          <w:rFonts w:ascii="Arial" w:cs="Arial" w:eastAsia="Arial" w:hAnsi="Arial"/>
          <w:b/>
          <w:bCs/>
          <w:color w:val="1B2A4A"/>
          <w:sz w:val="24"/>
          <w:szCs w:val="24"/>
        </w:rPr>
        <w:t xml:space="preserve">5.2 For Georgetown SSP Submission</w:t>
      </w:r>
    </w:p>
    <w:p>
      <w:pPr>
        <w:spacing w:before="60" w:after="100"/>
        <w:jc w:val="both"/>
      </w:pPr>
      <w:r>
        <w:rPr>
          <w:rFonts w:ascii="Arial" w:cs="Arial" w:eastAsia="Arial" w:hAnsi="Arial"/>
          <w:color w:val="000000"/>
          <w:sz w:val="22"/>
          <w:szCs w:val="22"/>
        </w:rPr>
        <w:t xml:space="preserve">The CI exposure profile of the interactive map is a byproduct of its analytical depth and public deployment architecture, not a deficiency. The production of this standalone CI assessment alongside the map product is itself evidence of the professional judgment and operational security awareness the SSP program selects for. Including a reference to WP-2026-MAP-CI-01 alongside WP-2026-SENI-CI-01 in the portfolio cover letter is recommended. The self-assessment posture demonstrates the analytic discipline that adjudicative guidelines and academic admissions standards both identify as favorable factors.</w:t>
      </w:r>
    </w:p>
    <w:p>
      <w:pPr>
        <w:spacing w:before="120" w:after="0"/>
      </w:pPr>
    </w:p>
    <w:p>
      <w:pPr>
        <w:spacing w:before="280" w:after="100"/>
      </w:pPr>
      <w:r>
        <w:rPr>
          <w:rFonts w:ascii="Arial" w:cs="Arial" w:eastAsia="Arial" w:hAnsi="Arial"/>
          <w:b/>
          <w:bCs/>
          <w:color w:val="1B2A4A"/>
          <w:sz w:val="24"/>
          <w:szCs w:val="24"/>
        </w:rPr>
        <w:t xml:space="preserve">5.3 For Security Clearance Adjudication</w:t>
      </w:r>
    </w:p>
    <w:p>
      <w:pPr>
        <w:spacing w:before="60" w:after="100"/>
        <w:jc w:val="both"/>
      </w:pPr>
      <w:r>
        <w:rPr>
          <w:rFonts w:ascii="Arial" w:cs="Arial" w:eastAsia="Arial" w:hAnsi="Arial"/>
          <w:color w:val="000000"/>
          <w:sz w:val="22"/>
          <w:szCs w:val="22"/>
        </w:rPr>
        <w:t xml:space="preserve">The legal exposure determination (Part IV) establishes that no content in the interactive map implicates any criminal statute or clearance-disqualifying act. Proactive disclosure of the map product, the GitHub repository, and both CI assessments (WP-2026-SENI-CI-01 and this document) in SF-86 and adjudication proceedings is recommended. The self-assessment posture — producing CI exposure analyses of your own published work — is the marker of exactly the security discipline that adjudicative guidelines assess favorably under the whole-person standard.</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VI — FINAL JUDGMENT</w:t>
      </w:r>
    </w:p>
    <w:p>
      <w:pPr>
        <w:spacing w:before="60" w:after="100"/>
        <w:jc w:val="both"/>
      </w:pPr>
      <w:r>
        <w:rPr>
          <w:rFonts w:ascii="Arial" w:cs="Arial" w:eastAsia="Arial" w:hAnsi="Arial"/>
          <w:color w:val="000000"/>
          <w:sz w:val="22"/>
          <w:szCs w:val="22"/>
        </w:rPr>
        <w:t xml:space="preserve">The SENI v4 interactive map represents a complete, satellite-integrated, machine-readable enforcement targeting database deployed on a public web infrastructure with zero access barriers. It is the WP-2026 series' highest single-product CI exposure item — not because its content exceeds the analytical depth of the companion documents, but because its delivery architecture makes that content instantly accessible, filterable, and exportable without analytical mediation.</w:t>
      </w:r>
    </w:p>
    <w:p>
      <w:pPr>
        <w:spacing w:before="60" w:after="100"/>
        <w:jc w:val="both"/>
      </w:pPr>
      <w:r>
        <w:rPr>
          <w:rFonts w:ascii="Arial" w:cs="Arial" w:eastAsia="Arial" w:hAnsi="Arial"/>
          <w:color w:val="000000"/>
          <w:sz w:val="22"/>
          <w:szCs w:val="22"/>
        </w:rPr>
        <w:t xml:space="preserve">The highest-priority CI exposure vectors are: (1) the machine-readable 401-node database in the HTML source, extractable in a single request; (2) the per-node satellite export function, which combines analytical targeting content with commercial satellite imagery on demand; and (3) the filter architecture, which produces curated adversary-domain targeting registers in seconds.</w:t>
      </w:r>
    </w:p>
    <w:p>
      <w:pPr>
        <w:spacing w:before="60" w:after="100"/>
        <w:jc w:val="both"/>
      </w:pPr>
      <w:r>
        <w:rPr>
          <w:rFonts w:ascii="Arial" w:cs="Arial" w:eastAsia="Arial" w:hAnsi="Arial"/>
          <w:color w:val="000000"/>
          <w:sz w:val="22"/>
          <w:szCs w:val="22"/>
        </w:rPr>
        <w:t xml:space="preserve">These are not assessable as deficiencies. They are the designed properties of the product. A map that is not accessible, filterable, and exportable is not a map — it is a document. The design decision to build an interactive, deployable, satellite-integrated product rather than a static visualization was the correct one for the product's academic and demonstration purposes, and it was made with awareness of the CI tradeoff it represents.</w:t>
      </w:r>
    </w:p>
    <w:p>
      <w:pPr>
        <w:pBdr>
          <w:left w:val="single" w:color="1B2A4A" w:sz="16" w:space="8"/>
        </w:pBdr>
        <w:shd w:fill="E8EDF5" w:val="clear"/>
        <w:spacing w:before="160" w:after="0"/>
        <w:ind w:left="240"/>
      </w:pPr>
      <w:r>
        <w:rPr>
          <w:rFonts w:ascii="Arial" w:cs="Arial" w:eastAsia="Arial" w:hAnsi="Arial"/>
          <w:b/>
          <w:bCs/>
          <w:caps/>
          <w:color w:val="1B2A4A"/>
          <w:sz w:val="18"/>
          <w:szCs w:val="18"/>
        </w:rPr>
        <w:t xml:space="preserve">Final Assessment</w:t>
      </w:r>
    </w:p>
    <w:p>
      <w:pPr>
        <w:pBdr>
          <w:left w:val="single" w:color="1B2A4A" w:sz="16" w:space="8"/>
        </w:pBdr>
        <w:shd w:fill="E8EDF5" w:val="clear"/>
        <w:spacing w:before="40" w:after="160"/>
        <w:ind w:left="240"/>
      </w:pPr>
      <w:r>
        <w:rPr>
          <w:rFonts w:ascii="Arial" w:cs="Arial" w:eastAsia="Arial" w:hAnsi="Arial"/>
          <w:color w:val="000000"/>
          <w:sz w:val="20"/>
          <w:szCs w:val="20"/>
        </w:rPr>
        <w:t xml:space="preserve">Available evidence supports the judgment that adversary awareness of the WP-2026 analytical architecture — including the complete node database embedded in the interactive map — is unlikely to defeat the enforcement mechanisms the series documents. Those mechanisms operate through structural legal authorities and institutional capacity, not through information asymmetry. Knowing the analytical framework does not transfer the OFAC designation authority, BIS export control jurisdiction, or secondary sanctions enforcement capacity required to execute enforcement action. The legal exposure is very low. The academic and demonstration value is very high. The CI self-assessment posture is the correct professional response to having built a product of this analytical depth and deployed it publicly. [MODERATE CONFIDENCE, ANALYTICALLY INFERRED]</w:t>
      </w:r>
    </w:p>
    <w:p>
      <w:pPr>
        <w:spacing w:before="120" w:after="0"/>
      </w:pPr>
    </w:p>
    <w:p>
      <w:pPr>
        <w:pBdr>
          <w:top w:val="single" w:color="4A5568" w:sz="4" w:space="4"/>
        </w:pBdr>
        <w:spacing w:before="160" w:after="60"/>
      </w:pPr>
      <w:r>
        <w:rPr>
          <w:rFonts w:ascii="Arial" w:cs="Arial" w:eastAsia="Arial" w:hAnsi="Arial"/>
          <w:i/>
          <w:iCs/>
          <w:color w:val="4A5568"/>
          <w:sz w:val="18"/>
          <w:szCs w:val="18"/>
        </w:rPr>
        <w:t xml:space="preserve">WP-2026-MAP-CI-01 · C. George · March 2026 · WP-2026 Series</w:t>
      </w:r>
    </w:p>
    <w:p>
      <w:pPr>
        <w:jc w:val="center"/>
      </w:pPr>
      <w:r>
        <w:rPr>
          <w:rFonts w:ascii="Arial" w:cs="Arial" w:eastAsia="Arial" w:hAnsi="Arial"/>
          <w:color w:val="4A5568"/>
          <w:sz w:val="17"/>
          <w:szCs w:val="17"/>
        </w:rPr>
        <w:t xml:space="preserve">UNCLASSIFIED // OPEN SOURCE // INDEPENDENT POLICY RESEARCH · CC BY 4.0</w:t>
      </w:r>
    </w:p>
    <w:p>
      <w:pPr>
        <w:spacing w:before="120" w:after="0"/>
      </w:pPr>
    </w:p>
    <w:p>
      <w:pPr>
        <w:spacing w:before="280" w:after="100"/>
      </w:pPr>
      <w:r>
        <w:rPr>
          <w:rFonts w:ascii="Arial" w:cs="Arial" w:hAnsi="Arial"/>
          <w:b/>
          <w:bCs/>
          <w:color w:val="1B2A4A"/>
          <w:sz w:val="24"/>
          <w:szCs w:val="24"/>
        </w:rPr>
        <w:t>Revision History</w:t>
      </w:r>
    </w:p>
    <w:tbl>
      <w:tblPr>
        <w:tblW w:type="dxa" w:w="9360"/>
        <w:tblBorders>
          <w:top w:val="single" w:color="D0D5DE" w:sz="1"/>
          <w:left w:val="single" w:color="D0D5DE" w:sz="1"/>
          <w:bottom w:val="single" w:color="D0D5DE" w:sz="1"/>
          <w:right w:val="single" w:color="D0D5DE" w:sz="1"/>
        </w:tblBorders>
      </w:tblPr>
      <w:tblGrid>
        <w:gridCol w:w="900"/>
        <w:gridCol w:w="8460"/>
      </w:tblGrid>
      <w:tr>
        <w:tc>
          <w:tcPr>
            <w:tcW w:type="dxa" w:w="900"/>
            <w:tcBorders>
              <w:top w:val="single" w:color="D0D5DE" w:sz="1"/>
              <w:left w:val="single" w:color="D0D5DE" w:sz="1"/>
              <w:bottom w:val="single" w:color="D0D5DE" w:sz="1"/>
              <w:right w:val="single" w:color="D0D5DE" w:sz="1"/>
            </w:tcBorders>
            <w:shd w:fill="1B2A4A" w:val="clear"/>
            <w:tcMar>
              <w:top w:type="dxa" w:w="60"/>
              <w:left w:type="dxa" w:w="100"/>
              <w:bottom w:type="dxa" w:w="60"/>
              <w:right w:type="dxa" w:w="100"/>
            </w:tcMar>
          </w:tcPr>
          <w:p>
            <w:pPr>
              <w:spacing w:before="60" w:after="60"/>
              <w:jc w:val="center"/>
            </w:pPr>
            <w:r>
              <w:rPr>
                <w:rFonts w:ascii="Arial" w:cs="Arial" w:hAnsi="Arial"/>
                <w:b/>
                <w:bCs/>
                <w:color w:val="FFFFFF"/>
                <w:sz w:val="17"/>
                <w:szCs w:val="17"/>
              </w:rPr>
              <w:t xml:space="preserve">VERSION</w:t>
            </w:r>
          </w:p>
        </w:tc>
        <w:tc>
          <w:tcPr>
            <w:tcW w:type="dxa" w:w="8460"/>
            <w:tcBorders>
              <w:top w:val="single" w:color="D0D5DE" w:sz="1"/>
              <w:left w:val="single" w:color="D0D5DE" w:sz="1"/>
              <w:bottom w:val="single" w:color="D0D5DE" w:sz="1"/>
              <w:right w:val="single" w:color="D0D5DE" w:sz="1"/>
            </w:tcBorders>
            <w:shd w:fill="1B2A4A" w:val="clear"/>
            <w:tcMar>
              <w:top w:type="dxa" w:w="60"/>
              <w:left w:type="dxa" w:w="100"/>
              <w:bottom w:type="dxa" w:w="60"/>
              <w:right w:type="dxa" w:w="100"/>
            </w:tcMar>
          </w:tcPr>
          <w:p>
            <w:pPr>
              <w:spacing w:before="60" w:after="60"/>
              <w:jc w:val="center"/>
            </w:pPr>
            <w:r>
              <w:rPr>
                <w:rFonts w:ascii="Arial" w:cs="Arial" w:hAnsi="Arial"/>
                <w:b/>
                <w:bCs/>
                <w:color w:val="FFFFFF"/>
                <w:sz w:val="17"/>
                <w:szCs w:val="17"/>
              </w:rPr>
              <w:t xml:space="preserve">CHANGES</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v1.0</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Initial draft. Five CI exposure vectors, adversary-specific utility assessments, legal analysis, Section 5 recommendations.</w:t>
            </w:r>
          </w:p>
        </w:tc>
      </w:tr>
      <w:tr>
        <w:tc>
          <w:tcPr>
            <w:tcW w:type="dxa" w:w="90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v1.1</w:t>
            </w:r>
          </w:p>
        </w:tc>
        <w:tc>
          <w:tcPr>
            <w:tcW w:type="dxa" w:w="846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color w:val="000000"/>
                <w:sz w:val="17"/>
                <w:szCs w:val="17"/>
              </w:rPr>
              <w:t xml:space="preserve">Three-gap update: 27-node nuclear fuel cycle group added; commit history methodological exposure developed; FPA counterparty satellite export vector assessed.</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v1.2</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Adversarial review revision: KJ2 satellite export claim narrowed to stable-infrastructure nodes; KJ5 passive/active vectors separated; partial mitigation three-option analysis added to Section 5.1; filter aggregation bound qualified; DPRK node-specific thin-basis callouts removed per CONF-01 doctrine.</w:t>
            </w:r>
          </w:p>
        </w:tc>
      </w:tr>
      <w:tr>
        <w:tc>
          <w:tcPr>
            <w:tcW w:type="dxa" w:w="90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v1.3</w:t>
            </w:r>
          </w:p>
        </w:tc>
        <w:tc>
          <w:tcPr>
            <w:tcW w:type="dxa" w:w="846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color w:val="000000"/>
                <w:sz w:val="17"/>
                <w:szCs w:val="17"/>
              </w:rPr>
              <w:t xml:space="preserve">Second adversarial review revision: Current deployment state for FPA nodes acknowledged; scoring model non-disclosure added as aggregation bound; DPRK CONF-01 doctrine citation added.</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v1.4</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Final refinements: Fourth mitigation option (email-gated export) assessed and accepted as recommended implementation; “full enforcement detail” replaced with precise language throughout; version history moved to standalone revision table.</w:t>
            </w:r>
          </w:p>
        </w:tc>
      </w:tr>
    </w:tbl>
    <w:p>
      <w:pPr>
        <w:spacing w:before="120" w:after="0"/>
      </w:pPr>
    </w:p>
    <w:p>
      <w:pPr>
        <w:jc w:val="center"/>
      </w:pPr>
      <w:r>
        <w:rPr>
          <w:rFonts w:ascii="Arial" w:cs="Arial" w:eastAsia="Arial" w:hAnsi="Arial"/>
          <w:color w:val="4A5568"/>
          <w:sz w:val="17"/>
          <w:szCs w:val="17"/>
        </w:rPr>
        <w:t xml:space="preserve">END OF DOCUMENT — WP-2026-MAP-CI-01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2026-03-19T13:26:34.949Z</dcterms:created>
  <dcterms:modified xsi:type="dcterms:W3CDTF">2026-03-19T13:26:34.950Z</dcterms:modified>
</cp:coreProperties>
</file>

<file path=docProps/custom.xml><?xml version="1.0" encoding="utf-8"?>
<Properties xmlns="http://schemas.openxmlformats.org/officeDocument/2006/custom-properties" xmlns:vt="http://schemas.openxmlformats.org/officeDocument/2006/docPropsVTypes"/>
</file>