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line="276"/>
      </w:pPr>
      <w:r>
        <w:rPr>
          <w:rFonts w:ascii="Arial" w:cs="Arial" w:eastAsia="Arial" w:hAnsi="Arial"/>
          <w:b/>
          <w:bCs/>
          <w:color w:val="8B6914"/>
          <w:sz w:val="20"/>
          <w:szCs w:val="20"/>
        </w:rPr>
        <w:t>WP-2026-CPF-02  |  v4.0 FINAL</w:t>
      </w:r>
    </w:p>
    <w:p>
      <w:pPr>
        <w:pBdr>
          <w:bottom w:val="single" w:color="1B2A4A" w:sz="6" w:space="8"/>
        </w:pBdr>
        <w:spacing w:after="80"/>
      </w:pPr>
      <w:r>
        <w:rPr>
          <w:rFonts w:ascii="Arial" w:cs="Arial" w:eastAsia="Arial" w:hAnsi="Arial"/>
          <w:b/>
          <w:bCs/>
          <w:color w:val="1B2A4A"/>
          <w:sz w:val="40"/>
          <w:szCs w:val="40"/>
        </w:rPr>
        <w:t xml:space="preserve">Counter-Proliferation Financing Enforcement Architecture</w:t>
      </w:r>
    </w:p>
    <w:p>
      <w:pPr>
        <w:spacing w:after="400" w:before="0" w:line="276"/>
      </w:pPr>
      <w:r>
        <w:rPr>
          <w:rFonts w:ascii="Arial" w:cs="Arial" w:eastAsia="Arial" w:hAnsi="Arial"/>
          <w:color w:val="1B2A4A"/>
          <w:sz w:val="26"/>
          <w:szCs w:val="26"/>
        </w:rPr>
        <w:t xml:space="preserve">Integrated Financial Denial, Export Controls, and Secondary Sanctions for WMD Procurement Disruption</w:t>
      </w:r>
    </w:p>
    <w:p>
      <w:pPr>
        <w:spacing w:after="100" w:before="0" w:line="276"/>
      </w:pPr>
      <w:r>
        <w:rPr>
          <w:rFonts w:ascii="Arial" w:cs="Arial" w:eastAsia="Arial" w:hAnsi="Arial"/>
          <w:b/>
          <w:bCs/>
          <w:color w:val="1B2A4A"/>
          <w:sz w:val="22"/>
          <w:szCs w:val="22"/>
        </w:rPr>
        <w:t xml:space="preserve">Collin George</w:t>
      </w:r>
    </w:p>
    <w:p>
      <w:pPr>
        <w:spacing w:after="100" w:before="0" w:line="276"/>
      </w:pPr>
      <w:r>
        <w:rPr>
          <w:rFonts w:ascii="Arial" w:cs="Arial" w:eastAsia="Arial" w:hAnsi="Arial"/>
          <w:color w:val="666666"/>
          <w:sz w:val="20"/>
          <w:szCs w:val="20"/>
        </w:rPr>
        <w:t>Center for Competitive Statecraft &amp; Strategic Policy  |  collinbgeorge.com</w:t>
      </w:r>
    </w:p>
    <w:p>
      <w:pPr>
        <w:spacing w:after="600" w:before="0" w:line="276"/>
      </w:pPr>
      <w:r>
        <w:rPr>
          <w:rFonts w:ascii="Arial" w:cs="Arial" w:eastAsia="Arial" w:hAnsi="Arial"/>
          <w:color w:val="666666"/>
          <w:sz w:val="20"/>
          <w:szCs w:val="20"/>
        </w:rPr>
        <w:t xml:space="preserve">April 2026</w:t>
      </w:r>
    </w:p>
    <w:p>
      <w:pPr>
        <w:spacing w:after="200" w:before="0" w:line="276"/>
      </w:pPr>
      <w:r>
        <w:rPr>
          <w:rFonts w:ascii="Arial" w:cs="Arial" w:eastAsia="Arial" w:hAnsi="Arial"/>
          <w:b/>
          <w:bCs/>
          <w:color w:val="8B6914"/>
          <w:sz w:val="18"/>
          <w:szCs w:val="18"/>
        </w:rPr>
        <w:t xml:space="preserve">UNCLASSIFIED // OPEN SOURCE // INDEPENDENT POLICY RESEARCH</w:t>
      </w:r>
    </w:p>
    <w:p>
      <w:r>
        <w:br w:type="page"/>
      </w:r>
    </w:p>
    <w:p>
      <w:pPr>
        <w:pStyle w:val="Heading1"/>
        <w:spacing w:after="200" w:before="360"/>
      </w:pPr>
      <w:r>
        <w:rPr>
          <w:rFonts w:ascii="Arial" w:cs="Arial" w:eastAsia="Arial" w:hAnsi="Arial"/>
          <w:b/>
          <w:bCs/>
          <w:color w:val="1B2A4A"/>
          <w:sz w:val="30"/>
          <w:szCs w:val="30"/>
        </w:rPr>
        <w:t xml:space="preserve">Abstract</w:t>
      </w:r>
    </w:p>
    <w:p>
      <w:pPr>
        <w:spacing w:after="120" w:line="276"/>
      </w:pPr>
      <w:r>
        <w:rPr>
          <w:rFonts w:ascii="Arial" w:cs="Arial" w:eastAsia="Arial" w:hAnsi="Arial"/>
          <w:sz w:val="22"/>
          <w:szCs w:val="22"/>
          <w:color w:val="000000"/>
        </w:rPr>
        <w:t xml:space="preserve">This paper analyzes the legal basis, evidentiary requirements, procedural paths, and principal litigation risks for a counter-proliferation financing enforcement framework targeting state-sponsored WMD programs (Iran nuclear/missile, DPRK WMD) and facilitators (PRC suppliers, Russia-linked procurement, UAE/Russia shadow channels). The framework coordinates 31 U.S.C. § 5318A (Section 311), E.O. 13382, 31 U.S.C. § 5323 (whistleblower), 18 U.S.C. § 981(k) (asset substitution), and CAATSA/CISADA/NKSPEA secondary sanctions authorities. Novel contributions include: registry-level maritime de-flagging enforcement (no precedent for E.O. 13382 registry designation), CAATSA/CISADA/NKSPEA secondary sanctions integration, and cryptocurrency enforcement applied to proliferation finance ($2.1B identified in 2024–2025). Key limitations: reliance on publicly available data only; scenario-based estimates; no humanitarian impact assessment performed; registry-level designation is legally untested.</w:t>
      </w:r>
    </w:p>
    <w:p>
      <w:pPr>
        <w:pStyle w:val="Heading1"/>
        <w:spacing w:after="200" w:before="360"/>
      </w:pPr>
      <w:r>
        <w:rPr>
          <w:rFonts w:ascii="Arial" w:cs="Arial" w:eastAsia="Arial" w:hAnsi="Arial"/>
          <w:b/>
          <w:bCs/>
          <w:color w:val="1B2A4A"/>
          <w:sz w:val="30"/>
          <w:szCs w:val="30"/>
        </w:rPr>
        <w:t xml:space="preserve">1. Executive Summary</w:t>
      </w:r>
    </w:p>
    <w:p>
      <w:pPr>
        <w:spacing w:after="120" w:line="276"/>
      </w:pPr>
      <w:r>
        <w:rPr>
          <w:rFonts w:ascii="Arial" w:cs="Arial" w:eastAsia="Arial" w:hAnsi="Arial"/>
          <w:sz w:val="22"/>
          <w:szCs w:val="22"/>
        </w:rPr>
        <w:t xml:space="preserve">This paper analyzes the legal basis, evidentiary requirements, procedural paths, and principal litigation risks for an enhanced enforcement framework targeting proliferation financing (CPF) networks, including state-sponsored programs (Iran nuclear/missile, DPRK WMD) and facilitators (PRC suppliers, Russia-linked procurement, UAE/Russia shadow channels). The framework coordinates 31 U.S.C. § 5318A (Section 311), E.O. 13382, 31 U.S.C. § 5323, CAATSA/CISADA/NKSPEA secondary sanctions, and maritime enforcement authorities.</w:t>
      </w:r>
    </w:p>
    <w:p>
      <w:pPr>
        <w:spacing w:after="120" w:line="276"/>
      </w:pPr>
      <w:r>
        <w:rPr>
          <w:rFonts w:ascii="Arial" w:cs="Arial" w:eastAsia="Arial" w:hAnsi="Arial"/>
          <w:sz w:val="22"/>
          <w:szCs w:val="22"/>
        </w:rPr>
        <w:t xml:space="preserve">This paper provides the most complete treatment within the WP-2026 series of secondary sanctions integration, maritime de-flagging as an enforcement mechanism, and cryptocurrency enforcement applied to proliferation finance. Each mechanism is presented in six-part format.</w:t>
      </w:r>
    </w:p>
    <w:p>
      <w:pPr>
        <w:pStyle w:val="Heading1"/>
        <w:spacing w:after="200" w:before="360"/>
      </w:pPr>
      <w:r>
        <w:rPr>
          <w:rFonts w:ascii="Arial" w:cs="Arial" w:eastAsia="Arial" w:hAnsi="Arial"/>
          <w:b/>
          <w:bCs/>
          <w:color w:val="1B2A4A"/>
          <w:sz w:val="30"/>
          <w:szCs w:val="30"/>
        </w:rPr>
        <w:t xml:space="preserve">2. Key Judgments</w:t>
      </w:r>
    </w:p>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MODERATE-HIGH CONFIDENCE  ·  Very Likely</w:t>
            </w:r>
          </w:p>
          <w:p>
            <w:pPr>
              <w:spacing w:after="80" w:line="276"/>
            </w:pPr>
            <w:r>
              <w:rPr>
                <w:rFonts w:ascii="Arial" w:cs="Arial" w:eastAsia="Arial" w:hAnsi="Arial"/>
                <w:sz w:val="20"/>
                <w:szCs w:val="20"/>
              </w:rPr>
              <w:t xml:space="preserve">Mandatory correspondent termination under § 5318(j)(2)–(3) is assessed to present existential commercial risk for foreign banks facilitating proliferation transactions. No major international bank is assessed as likely to sustain operations without USD correspondent access, based on consistent observed compliance behavior when facing U.S. enforcement actions.</w:t>
            </w:r>
          </w:p>
          <w:p>
            <w:pPr>
              <w:spacing w:after="0"/>
            </w:pPr>
            <w:r>
              <w:rPr>
                <w:rFonts w:ascii="Arial" w:cs="Arial" w:eastAsia="Arial" w:hAnsi="Arial"/>
                <w:i/>
                <w:iCs/>
                <w:color w:val="4A5568"/>
                <w:sz w:val="18"/>
                <w:szCs w:val="18"/>
              </w:rPr>
              <w:t xml:space="preserve">Basis: Tier 1 statutory text and enforcement precedent (HSBC, Standard Chartered settlements; OFAC shadow fleet designations October 2024–January 2026).</w:t>
            </w:r>
          </w:p>
          <w:p>
            <w:pPr>
              <w:spacing w:after="120" w:line="276"/>
            </w:pPr>
            <w:r>
              <w:rPr>
                <w:rFonts w:ascii="Arial" w:cs="Arial" w:eastAsia="Arial" w:hAnsi="Arial"/>
                <w:sz w:val="18"/>
                <w:szCs w:val="18"/>
                <w:color w:val="4A5568"/>
                <w:i/>
                <w:iCs/>
              </w:rPr>
              <w:t xml:space="preserve">Tier Key: Tier 1 = Primary government source, official reporting, or enacted statutory authority. Tier 2 = Analytically inferred from corroborated reporting, private-sector data, or scenario-based assessment.</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ANALYTICALLY INFERRED  ·  Likely</w:t>
            </w:r>
          </w:p>
          <w:p>
            <w:pPr>
              <w:spacing w:after="80" w:line="276"/>
            </w:pPr>
            <w:r>
              <w:rPr>
                <w:rFonts w:ascii="Arial" w:cs="Arial" w:eastAsia="Arial" w:hAnsi="Arial"/>
                <w:sz w:val="20"/>
                <w:szCs w:val="20"/>
              </w:rPr>
              <w:t xml:space="preserve">Maritime de-flagging—sanctioning flag registries rather than individual vessels—is assessed as likely to present systemic pressure on the shadow fleet model. Registry-level designation under E.O. 13382 has no direct precedent; judicial and diplomatic reception is uncertain, assuming sustained enforcement and registry compliance. Iran’s oil export capacity depends on constant vessel re-flagging; constraining this option may reduce exports by 20–50% under base-case assumptions, subject to flag-of-convenience substitution dynamics.</w:t>
            </w:r>
          </w:p>
          <w:p>
            <w:pPr>
              <w:spacing w:after="0"/>
            </w:pPr>
            <w:r>
              <w:rPr>
                <w:rFonts w:ascii="Arial" w:cs="Arial" w:eastAsia="Arial" w:hAnsi="Arial"/>
                <w:i/>
                <w:iCs/>
                <w:color w:val="4A5568"/>
                <w:sz w:val="18"/>
                <w:szCs w:val="18"/>
              </w:rPr>
              <w:t xml:space="preserve">Basis: Tier 1 OFAC shadow fleet data (October 2024–January 2026). Tier 2 maritime industry analysis (P&amp;I club requirements, registry incentives). No precedent for registry-level E.O. 13382 designation; judicial and diplomatic reception is uncertain. Projected compliance timelines are analytically inferred.</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LOW-MODERATE CONFIDENCE · SCENARIO-CONDITIONED  ·  Roughly Even Odds to Likely</w:t>
            </w:r>
          </w:p>
          <w:p>
            <w:pPr>
              <w:spacing w:after="80" w:line="276"/>
            </w:pPr>
            <w:r>
              <w:rPr>
                <w:rFonts w:ascii="Arial" w:cs="Arial" w:eastAsia="Arial" w:hAnsi="Arial"/>
                <w:sz w:val="20"/>
                <w:szCs w:val="20"/>
              </w:rPr>
              <w:t xml:space="preserve">Sustained enforcement over 24–36 months may degrade state-sponsored WMD procurement capacity by 30–60%, contingent on enforcement persistence, third-country facilitator compliance, adversary adaptation, and the adequacy of administrative records supporting each individual action. This estimate is scenario-conditioned.</w:t>
            </w:r>
          </w:p>
          <w:p>
            <w:pPr>
              <w:spacing w:after="0"/>
            </w:pPr>
            <w:r>
              <w:rPr>
                <w:rFonts w:ascii="Arial" w:cs="Arial" w:eastAsia="Arial" w:hAnsi="Arial"/>
                <w:i/>
                <w:iCs/>
                <w:color w:val="4A5568"/>
                <w:sz w:val="18"/>
                <w:szCs w:val="18"/>
              </w:rPr>
              <w:t xml:space="preserve">Basis: Tier 2 analytic inference from BIS Entity List yield, OFAC historical precedent, FATF mutual evaluations. The available reporting does not permit a firm conclusion on procurement network reconstitution timelines or PRC/India/Turkey compliance thresholds.</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CAATSA/CISADA/NKSPEA secondary sanctions, deployed with 180-day warning letters offering compliance windows, may present enforcement leverage against third-country facilitators, subject to PRC state willingness to absorb secondary sanctions costs on strategic sectors.</w:t>
            </w:r>
          </w:p>
          <w:p>
            <w:pPr>
              <w:spacing w:after="0"/>
            </w:pPr>
            <w:r>
              <w:rPr>
                <w:rFonts w:ascii="Arial" w:cs="Arial" w:eastAsia="Arial" w:hAnsi="Arial"/>
                <w:i/>
                <w:iCs/>
                <w:color w:val="4A5568"/>
                <w:sz w:val="18"/>
                <w:szCs w:val="18"/>
              </w:rPr>
              <w:t xml:space="preserve">Basis: Tier 1 statutory text (22 U.S.C. §§ 9241, 8513, 9214). Tier 1 enforcement precedent (CAATSA § 231). Constrained by PRC retaliation threshold uncertainty.</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Crypto enforcement under § 5318A(a)(1) addresses a $2.1B proliferation-linked channel (Chainalysis Q4 2025) that traditional CPF enforcement has not adequately covered. Effectiveness is assessed as contingent on the speed of protocol migration and privacy coin adoption by state-sponsored actors.</w:t>
            </w:r>
          </w:p>
          <w:p>
            <w:pPr>
              <w:spacing w:after="0"/>
            </w:pPr>
            <w:r>
              <w:rPr>
                <w:rFonts w:ascii="Arial" w:cs="Arial" w:eastAsia="Arial" w:hAnsi="Arial"/>
                <w:i/>
                <w:iCs/>
                <w:color w:val="4A5568"/>
                <w:sz w:val="18"/>
                <w:szCs w:val="18"/>
              </w:rPr>
              <w:t xml:space="preserve">Basis: Tier 2 Chainalysis Q4 2025. Tier 1 FinCEN-2022-001, Garantex/Tornado Cash 2024 precedent.</w:t>
            </w:r>
          </w:p>
        </w:tc>
      </w:tr>
    </w:tbl>
    <w:p>
      <w:pPr>
        <w:spacing w:after="120" w:line="276"/>
      </w:pPr>
      <w:r>
        <w:rPr>
          <w:rFonts w:ascii="Arial" w:cs="Arial" w:eastAsia="Arial" w:hAnsi="Arial"/>
          <w:sz w:val="22"/>
          <w:szCs w:val="22"/>
        </w:rPr>
        <w:t xml:space="preserve"/>
      </w:r>
    </w:p>
    <w:p>
      <w:pPr>
        <w:pStyle w:val="Heading1"/>
        <w:spacing w:after="200" w:before="360"/>
      </w:pPr>
      <w:r>
        <w:rPr>
          <w:rFonts w:ascii="Arial" w:cs="Arial" w:eastAsia="Arial" w:hAnsi="Arial"/>
          <w:b/>
          <w:bCs/>
          <w:color w:val="1B2A4A"/>
          <w:sz w:val="30"/>
          <w:szCs w:val="30"/>
        </w:rPr>
        <w:t xml:space="preserve">3. Analytic Distinctions</w:t>
      </w:r>
    </w:p>
    <w:p>
      <w:pPr>
        <w:pStyle w:val="Heading2"/>
        <w:spacing w:after="160" w:before="280"/>
      </w:pPr>
      <w:r>
        <w:rPr>
          <w:rFonts w:ascii="Arial" w:cs="Arial" w:eastAsia="Arial" w:hAnsi="Arial"/>
          <w:b/>
          <w:bCs/>
          <w:color w:val="1B2A4A"/>
          <w:sz w:val="24"/>
          <w:szCs w:val="24"/>
        </w:rPr>
        <w:t xml:space="preserve">3.1 Observed / Officially Reported</w:t>
      </w:r>
    </w:p>
    <w:p>
      <w:pPr>
        <w:pStyle w:val="ListParagraph"/>
        <w:numPr>
          <w:ilvl w:val="0"/>
          <w:numId w:val="2"/>
        </w:numPr>
        <w:spacing w:after="80" w:line="276"/>
      </w:pPr>
      <w:r>
        <w:rPr>
          <w:rFonts w:ascii="Arial" w:cs="Arial" w:eastAsia="Arial" w:hAnsi="Arial"/>
          <w:sz w:val="22"/>
          <w:szCs w:val="22"/>
        </w:rPr>
        <w:t xml:space="preserve">BIS Entity List additions for Russia/Iran diversion, 2024–2025 [Tier 1].</w:t>
      </w:r>
    </w:p>
    <w:p>
      <w:pPr>
        <w:pStyle w:val="ListParagraph"/>
        <w:numPr>
          <w:ilvl w:val="0"/>
          <w:numId w:val="2"/>
        </w:numPr>
        <w:spacing w:after="80" w:line="276"/>
      </w:pPr>
      <w:r>
        <w:rPr>
          <w:rFonts w:ascii="Arial" w:cs="Arial" w:eastAsia="Arial" w:hAnsi="Arial"/>
          <w:sz w:val="22"/>
          <w:szCs w:val="22"/>
        </w:rPr>
        <w:t xml:space="preserve">OFAC shadow fleet vessel designations, October 2024–January 2026 [Tier 1].</w:t>
      </w:r>
    </w:p>
    <w:p>
      <w:pPr>
        <w:pStyle w:val="ListParagraph"/>
        <w:numPr>
          <w:ilvl w:val="0"/>
          <w:numId w:val="2"/>
        </w:numPr>
        <w:spacing w:after="80" w:line="276"/>
      </w:pPr>
      <w:r>
        <w:rPr>
          <w:rFonts w:ascii="Arial" w:cs="Arial" w:eastAsia="Arial" w:hAnsi="Arial"/>
          <w:sz w:val="22"/>
          <w:szCs w:val="22"/>
        </w:rPr>
        <w:t xml:space="preserve">FATF calls for action on Iran and DPRK [Tier 1].</w:t>
      </w:r>
    </w:p>
    <w:p>
      <w:pPr>
        <w:pStyle w:val="ListParagraph"/>
        <w:numPr>
          <w:ilvl w:val="0"/>
          <w:numId w:val="2"/>
        </w:numPr>
        <w:spacing w:after="80" w:line="276"/>
      </w:pPr>
      <w:r>
        <w:rPr>
          <w:rFonts w:ascii="Arial" w:cs="Arial" w:eastAsia="Arial" w:hAnsi="Arial"/>
          <w:sz w:val="22"/>
          <w:szCs w:val="22"/>
        </w:rPr>
        <w:t xml:space="preserve">Chainalysis Q4 2025: $2.1B proliferation-linked crypto, 2024–2025 [Tier 2].</w:t>
      </w:r>
    </w:p>
    <w:p>
      <w:pPr>
        <w:pStyle w:val="ListParagraph"/>
        <w:numPr>
          <w:ilvl w:val="0"/>
          <w:numId w:val="2"/>
        </w:numPr>
        <w:spacing w:after="80" w:line="276"/>
      </w:pPr>
      <w:r>
        <w:rPr>
          <w:rFonts w:ascii="Arial" w:cs="Arial" w:eastAsia="Arial" w:hAnsi="Arial"/>
          <w:sz w:val="22"/>
          <w:szCs w:val="22"/>
        </w:rPr>
        <w:t xml:space="preserve">USVSST Fund $2.8B distribution, January 2026 [Tier 1].</w:t>
      </w:r>
    </w:p>
    <w:p>
      <w:pPr>
        <w:pStyle w:val="Heading2"/>
        <w:spacing w:after="160" w:before="280"/>
      </w:pPr>
      <w:r>
        <w:rPr>
          <w:rFonts w:ascii="Arial" w:cs="Arial" w:eastAsia="Arial" w:hAnsi="Arial"/>
          <w:b/>
          <w:bCs/>
          <w:color w:val="1B2A4A"/>
          <w:sz w:val="24"/>
          <w:szCs w:val="24"/>
        </w:rPr>
        <w:t xml:space="preserve">3.2 Assessment (Analytically Inferred)</w:t>
      </w:r>
    </w:p>
    <w:p>
      <w:pPr>
        <w:pStyle w:val="ListParagraph"/>
        <w:numPr>
          <w:ilvl w:val="0"/>
          <w:numId w:val="3"/>
        </w:numPr>
        <w:spacing w:after="80" w:line="276"/>
      </w:pPr>
      <w:r>
        <w:rPr>
          <w:rFonts w:ascii="Arial" w:cs="Arial" w:eastAsia="Arial" w:hAnsi="Arial"/>
          <w:sz w:val="22"/>
          <w:szCs w:val="22"/>
        </w:rPr>
        <w:t xml:space="preserve">E.O. 13382 and § 2339D authorities, combined with notice procedures, may support enforcement consideration against PRC/Russia suppliers, subject to case-specific proof.</w:t>
      </w:r>
    </w:p>
    <w:p>
      <w:pPr>
        <w:pStyle w:val="ListParagraph"/>
        <w:numPr>
          <w:ilvl w:val="0"/>
          <w:numId w:val="3"/>
        </w:numPr>
        <w:spacing w:after="80" w:line="276"/>
      </w:pPr>
      <w:r>
        <w:rPr>
          <w:rFonts w:ascii="Arial" w:cs="Arial" w:eastAsia="Arial" w:hAnsi="Arial"/>
          <w:sz w:val="22"/>
          <w:szCs w:val="22"/>
        </w:rPr>
        <w:t xml:space="preserve">Registry-level maritime sanctions may present more systemic pressure than vessel-level designations, but judicial and diplomatic reception is untested.</w:t>
      </w:r>
    </w:p>
    <w:p>
      <w:pPr>
        <w:pStyle w:val="Heading2"/>
        <w:spacing w:after="160" w:before="280"/>
      </w:pPr>
      <w:r>
        <w:rPr>
          <w:rFonts w:ascii="Arial" w:cs="Arial" w:eastAsia="Arial" w:hAnsi="Arial"/>
          <w:b/>
          <w:bCs/>
          <w:color w:val="1B2A4A"/>
          <w:sz w:val="24"/>
          <w:szCs w:val="24"/>
        </w:rPr>
        <w:t xml:space="preserve">3.3 Not Established</w:t>
      </w:r>
    </w:p>
    <w:p>
      <w:pPr>
        <w:pStyle w:val="ListParagraph"/>
        <w:numPr>
          <w:ilvl w:val="0"/>
          <w:numId w:val="4"/>
        </w:numPr>
        <w:spacing w:after="80" w:line="276"/>
      </w:pPr>
      <w:r>
        <w:rPr>
          <w:rFonts w:ascii="Arial" w:cs="Arial" w:eastAsia="Arial" w:hAnsi="Arial"/>
          <w:sz w:val="22"/>
          <w:szCs w:val="22"/>
        </w:rPr>
        <w:t xml:space="preserve">Registry-level E.O. 13382 designation viability (no precedent).</w:t>
      </w:r>
    </w:p>
    <w:p>
      <w:pPr>
        <w:pStyle w:val="ListParagraph"/>
        <w:numPr>
          <w:ilvl w:val="0"/>
          <w:numId w:val="4"/>
        </w:numPr>
        <w:spacing w:after="80" w:line="276"/>
      </w:pPr>
      <w:r>
        <w:rPr>
          <w:rFonts w:ascii="Arial" w:cs="Arial" w:eastAsia="Arial" w:hAnsi="Arial"/>
          <w:sz w:val="22"/>
          <w:szCs w:val="22"/>
        </w:rPr>
        <w:t xml:space="preserve">PRC secondary sanctions absorption threshold.</w:t>
      </w:r>
    </w:p>
    <w:p>
      <w:pPr>
        <w:pStyle w:val="ListParagraph"/>
        <w:numPr>
          <w:ilvl w:val="0"/>
          <w:numId w:val="4"/>
        </w:numPr>
        <w:spacing w:after="80" w:line="276"/>
      </w:pPr>
      <w:r>
        <w:rPr>
          <w:rFonts w:ascii="Arial" w:cs="Arial" w:eastAsia="Arial" w:hAnsi="Arial"/>
          <w:sz w:val="22"/>
          <w:szCs w:val="22"/>
        </w:rPr>
        <w:t xml:space="preserve">Iran/DPRK procurement network reconstitution timelines.</w:t>
      </w:r>
    </w:p>
    <w:p>
      <w:pPr>
        <w:pStyle w:val="ListParagraph"/>
        <w:numPr>
          <w:ilvl w:val="0"/>
          <w:numId w:val="4"/>
        </w:numPr>
        <w:spacing w:after="80" w:line="276"/>
      </w:pPr>
      <w:r>
        <w:rPr>
          <w:rFonts w:ascii="Arial" w:cs="Arial" w:eastAsia="Arial" w:hAnsi="Arial"/>
          <w:sz w:val="22"/>
          <w:szCs w:val="22"/>
        </w:rPr>
        <w:t xml:space="preserve">Prosecutorial viability of any individual § 2339D case (requires DOJ discretion and case-specific record).</w:t>
      </w:r>
    </w:p>
    <w:p>
      <w:pPr>
        <w:pStyle w:val="Heading1"/>
        <w:spacing w:after="200" w:before="360"/>
      </w:pPr>
      <w:r>
        <w:rPr>
          <w:rFonts w:ascii="Arial" w:cs="Arial" w:eastAsia="Arial" w:hAnsi="Arial"/>
          <w:b/>
          <w:bCs/>
          <w:color w:val="1B2A4A"/>
          <w:sz w:val="30"/>
          <w:szCs w:val="30"/>
        </w:rPr>
        <w:t xml:space="preserve">4. Institutional Recommendation Posture</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DOCUMENT STATUS: </w:t>
      </w:r>
      <w:r>
        <w:rPr>
          <w:rFonts w:ascii="Arial" w:cs="Arial" w:eastAsia="Arial" w:hAnsi="Arial"/>
          <w:sz w:val="20"/>
          <w:szCs w:val="20"/>
        </w:rPr>
        <w:t xml:space="preserve">This paper is suitable for legal-policy assessment and exploratory enforcement review. It does not constitute a recommendation for specific enforcement action. Maritime de-flagging (registry-level designation) and CAATSA/CISADA/NKSPEA secondary sanctions require formal interagency legal-policy review including Treasury OGC, State Department Legal Adviser, DOJ/NSD, and NSC staff, given significant diplomatic equities. Classified supplementation may be required for actions relying on intelligence-derived attribution.</w:t>
      </w:r>
    </w:p>
    <w:p>
      <w:pPr>
        <w:pStyle w:val="Heading1"/>
        <w:spacing w:after="200" w:before="360"/>
      </w:pPr>
      <w:r>
        <w:rPr>
          <w:rFonts w:ascii="Arial" w:cs="Arial" w:eastAsia="Arial" w:hAnsi="Arial"/>
          <w:b/>
          <w:bCs/>
          <w:color w:val="1B2A4A"/>
          <w:sz w:val="30"/>
          <w:szCs w:val="30"/>
        </w:rPr>
        <w:t xml:space="preserve">5. Enforcement Architecture</w:t>
      </w:r>
    </w:p>
    <w:p>
      <w:pPr>
        <w:pStyle w:val="Heading2"/>
        <w:spacing w:after="160" w:before="280"/>
      </w:pPr>
      <w:r>
        <w:rPr>
          <w:rFonts w:ascii="Arial" w:cs="Arial" w:eastAsia="Arial" w:hAnsi="Arial"/>
          <w:b/>
          <w:bCs/>
          <w:color w:val="1B2A4A"/>
          <w:sz w:val="24"/>
          <w:szCs w:val="24"/>
        </w:rPr>
        <w:t xml:space="preserve">5.1 Section 311 PMLC and Mandatory Correspondent Termination</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31 U.S.C. § 5318A(a)(1), E.O. 13382. § 5318(k) subpoena authority. Mandatory termination under § 5318(j)(2)–(3). § 5321(a)(1) civil penalties.</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5"/>
        </w:numPr>
        <w:spacing w:after="80" w:line="276"/>
      </w:pPr>
      <w:r>
        <w:rPr>
          <w:rFonts w:ascii="Arial" w:cs="Arial" w:eastAsia="Arial" w:hAnsi="Arial"/>
          <w:sz w:val="22"/>
          <w:szCs w:val="22"/>
        </w:rPr>
        <w:t xml:space="preserve">Reasonable grounds for PMLC finding (§ 5318A(c) factors).</w:t>
      </w:r>
    </w:p>
    <w:p>
      <w:pPr>
        <w:pStyle w:val="ListParagraph"/>
        <w:numPr>
          <w:ilvl w:val="0"/>
          <w:numId w:val="5"/>
        </w:numPr>
        <w:spacing w:after="80" w:line="276"/>
      </w:pPr>
      <w:r>
        <w:rPr>
          <w:rFonts w:ascii="Arial" w:cs="Arial" w:eastAsia="Arial" w:hAnsi="Arial"/>
          <w:sz w:val="22"/>
          <w:szCs w:val="22"/>
        </w:rPr>
        <w:t xml:space="preserve">Nexus between designated entity and WMD proliferation activity.</w:t>
      </w:r>
    </w:p>
    <w:p>
      <w:pPr>
        <w:pStyle w:val="ListParagraph"/>
        <w:numPr>
          <w:ilvl w:val="0"/>
          <w:numId w:val="5"/>
        </w:numPr>
        <w:spacing w:after="80" w:line="276"/>
      </w:pPr>
      <w:r>
        <w:rPr>
          <w:rFonts w:ascii="Arial" w:cs="Arial" w:eastAsia="Arial" w:hAnsi="Arial"/>
          <w:sz w:val="22"/>
          <w:szCs w:val="22"/>
        </w:rPr>
        <w:t xml:space="preserve">Proportionality of special measure to identified risk.</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FinCEN develops record → NPRM or Finding → interagency consultation (Treasury OGC, DOJ, State) → Federal Register publication. § 5318(k) subpoena: 60 days to comply (extendable to 120); non-compliance → mandatory 10-day termination notice.</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PMLC designation is discretionary (FinCEN Director / Secretary of Treasury). Mandatory termination under § 5318(j) follows subpoena non-compliance but the initial subpoena issuance is itself discretionary. Designations affecting PRC/Russian state banks require NSC-level review given diplomatic equities.</w:t>
      </w:r>
    </w:p>
    <w:p>
      <w:pPr>
        <w:spacing w:after="120" w:before="200"/>
      </w:pPr>
      <w:r>
        <w:rPr>
          <w:rFonts w:ascii="Arial" w:cs="Arial" w:eastAsia="Arial" w:hAnsi="Arial"/>
          <w:b/>
          <w:bCs/>
          <w:color w:val="4A5568"/>
          <w:sz w:val="22"/>
          <w:szCs w:val="22"/>
        </w:rPr>
        <w:t xml:space="preserve">Evidentiary Basis</w:t>
      </w:r>
    </w:p>
    <w:p>
      <w:pPr>
        <w:pStyle w:val="ListParagraph"/>
        <w:numPr>
          <w:ilvl w:val="0"/>
          <w:numId w:val="6"/>
        </w:numPr>
        <w:spacing w:after="80" w:line="276"/>
      </w:pPr>
      <w:r>
        <w:rPr>
          <w:rFonts w:ascii="Arial" w:cs="Arial" w:eastAsia="Arial" w:hAnsi="Arial"/>
          <w:sz w:val="22"/>
          <w:szCs w:val="22"/>
        </w:rPr>
        <w:t xml:space="preserve">Established: statutory authority; E.O. 13382 designations; FATF deficiency findings [Tier 1].</w:t>
      </w:r>
    </w:p>
    <w:p>
      <w:pPr>
        <w:pStyle w:val="ListParagraph"/>
        <w:numPr>
          <w:ilvl w:val="0"/>
          <w:numId w:val="6"/>
        </w:numPr>
        <w:spacing w:after="80" w:line="276"/>
      </w:pPr>
      <w:r>
        <w:rPr>
          <w:rFonts w:ascii="Arial" w:cs="Arial" w:eastAsia="Arial" w:hAnsi="Arial"/>
          <w:sz w:val="22"/>
          <w:szCs w:val="22"/>
        </w:rPr>
        <w:t xml:space="preserve">Likely inferable: financial flow patterns linking foreign banks to proliferator procurement (SAR aggregation) [Tier 1–2].</w:t>
      </w:r>
    </w:p>
    <w:p>
      <w:pPr>
        <w:pStyle w:val="ListParagraph"/>
        <w:numPr>
          <w:ilvl w:val="0"/>
          <w:numId w:val="6"/>
        </w:numPr>
        <w:spacing w:after="80" w:line="276"/>
      </w:pPr>
      <w:r>
        <w:rPr>
          <w:rFonts w:ascii="Arial" w:cs="Arial" w:eastAsia="Arial" w:hAnsi="Arial"/>
          <w:sz w:val="22"/>
          <w:szCs w:val="22"/>
        </w:rPr>
        <w:t xml:space="preserve">Requires development: institution-specific transaction evidence; beneficial ownership documentation; proportionality analysis.</w:t>
      </w:r>
    </w:p>
    <w:p>
      <w:pPr>
        <w:pStyle w:val="ListParagraph"/>
        <w:numPr>
          <w:ilvl w:val="0"/>
          <w:numId w:val="6"/>
        </w:numPr>
        <w:spacing w:after="80" w:line="276"/>
      </w:pPr>
      <w:r>
        <w:rPr>
          <w:rFonts w:ascii="Arial" w:cs="Arial" w:eastAsia="Arial" w:hAnsi="Arial"/>
          <w:sz w:val="22"/>
          <w:szCs w:val="22"/>
        </w:rPr>
        <w:t xml:space="preserve">Insufficient without supplementation: PMLC designation targeting a named institution without case-specific record.</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7"/>
        </w:numPr>
        <w:spacing w:after="80" w:line="276"/>
      </w:pPr>
      <w:r>
        <w:rPr>
          <w:rFonts w:ascii="Arial" w:cs="Arial" w:eastAsia="Arial" w:hAnsi="Arial"/>
          <w:sz w:val="22"/>
          <w:szCs w:val="22"/>
        </w:rPr>
        <w:t xml:space="preserve">APA challenge: reasoned decision-making and substantial evidence required (State Farm).</w:t>
      </w:r>
    </w:p>
    <w:p>
      <w:pPr>
        <w:pStyle w:val="ListParagraph"/>
        <w:numPr>
          <w:ilvl w:val="0"/>
          <w:numId w:val="7"/>
        </w:numPr>
        <w:spacing w:after="80" w:line="276"/>
      </w:pPr>
      <w:r>
        <w:rPr>
          <w:rFonts w:ascii="Arial" w:cs="Arial" w:eastAsia="Arial" w:hAnsi="Arial"/>
          <w:sz w:val="22"/>
          <w:szCs w:val="22"/>
        </w:rPr>
        <w:t xml:space="preserve">Sovereign immunity: PRC state-owned banks may assert FSIA defenses; commercial activity exception (§ 1605(a)(2)) likely applies but must be established.</w:t>
      </w:r>
    </w:p>
    <w:p>
      <w:pPr>
        <w:pStyle w:val="ListParagraph"/>
        <w:numPr>
          <w:ilvl w:val="0"/>
          <w:numId w:val="7"/>
        </w:numPr>
        <w:spacing w:after="80" w:line="276"/>
      </w:pPr>
      <w:r>
        <w:rPr>
          <w:rFonts w:ascii="Arial" w:cs="Arial" w:eastAsia="Arial" w:hAnsi="Arial"/>
          <w:sz w:val="22"/>
          <w:szCs w:val="22"/>
        </w:rPr>
        <w:t xml:space="preserve">Diplomatic escalation: PRC counter-enforcement measures (anti-sanctions legislation) may impose costs on U.S. financial institutions operating in China.</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sustained, loss of USD correspondent access is assessed to present existential commercial risk for affected banks, based on consistent observed compliance behavior in prior enforcement actions.</w:t>
      </w:r>
    </w:p>
    <w:p>
      <w:pPr>
        <w:pStyle w:val="Heading2"/>
        <w:spacing w:after="160" w:before="280"/>
      </w:pPr>
      <w:r>
        <w:rPr>
          <w:rFonts w:ascii="Arial" w:cs="Arial" w:eastAsia="Arial" w:hAnsi="Arial"/>
          <w:b/>
          <w:bCs/>
          <w:color w:val="1B2A4A"/>
          <w:sz w:val="24"/>
          <w:szCs w:val="24"/>
        </w:rPr>
        <w:t xml:space="preserve">5.2 Asset Blocking and Notice Letters</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E.O. 13382. 50 U.S.C. § 4819 (ECRA, 20-year criminal penalties). 18 U.S.C. § 2339D (WMD material support).</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8"/>
        </w:numPr>
        <w:spacing w:after="80" w:line="276"/>
      </w:pPr>
      <w:r>
        <w:rPr>
          <w:rFonts w:ascii="Arial" w:cs="Arial" w:eastAsia="Arial" w:hAnsi="Arial"/>
          <w:sz w:val="22"/>
          <w:szCs w:val="22"/>
        </w:rPr>
        <w:t xml:space="preserve">E.O. 13382: reasonable basis to believe entity is WMD proliferator or supporter.</w:t>
      </w:r>
    </w:p>
    <w:p>
      <w:pPr>
        <w:pStyle w:val="ListParagraph"/>
        <w:numPr>
          <w:ilvl w:val="0"/>
          <w:numId w:val="8"/>
        </w:numPr>
        <w:spacing w:after="80" w:line="276"/>
      </w:pPr>
      <w:r>
        <w:rPr>
          <w:rFonts w:ascii="Arial" w:cs="Arial" w:eastAsia="Arial" w:hAnsi="Arial"/>
          <w:sz w:val="22"/>
          <w:szCs w:val="22"/>
        </w:rPr>
        <w:t xml:space="preserve">ECRA (§ 4819): knowing violation of export control requirements for items on Commerce Control List.</w:t>
      </w:r>
    </w:p>
    <w:p>
      <w:pPr>
        <w:pStyle w:val="ListParagraph"/>
        <w:numPr>
          <w:ilvl w:val="0"/>
          <w:numId w:val="8"/>
        </w:numPr>
        <w:spacing w:after="80" w:line="276"/>
      </w:pPr>
      <w:r>
        <w:rPr>
          <w:rFonts w:ascii="Arial" w:cs="Arial" w:eastAsia="Arial" w:hAnsi="Arial"/>
          <w:sz w:val="22"/>
          <w:szCs w:val="22"/>
        </w:rPr>
        <w:t xml:space="preserve">§ 2339D: provision of military-type training or expert advice on WMD-usable technology to designated entities.</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Treasury delivers notice letters via registered mail documenting: (a) end-user E.O. 13382 designation; (b) dual-use CCL classification; (c) § 4819 criminal liability parameters. Service documentation preserved. Post-notice monitoring; referral to DOJ for investigative consideration.</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OFAC retains designation discretion. DOJ retains exclusive prosecutorial discretion for § 4819 and § 2339D cases. BIS retains licensing and enforcement discretion for export control violations. Notice delivery does not compel any enforcement action.</w:t>
      </w:r>
    </w:p>
    <w:p>
      <w:pPr>
        <w:spacing w:after="120" w:before="200"/>
      </w:pPr>
      <w:r>
        <w:rPr>
          <w:rFonts w:ascii="Arial" w:cs="Arial" w:eastAsia="Arial" w:hAnsi="Arial"/>
          <w:b/>
          <w:bCs/>
          <w:color w:val="4A5568"/>
          <w:sz w:val="22"/>
          <w:szCs w:val="22"/>
        </w:rPr>
        <w:t xml:space="preserve">Evidentiary Basis</w:t>
      </w:r>
    </w:p>
    <w:p>
      <w:pPr>
        <w:pStyle w:val="ListParagraph"/>
        <w:numPr>
          <w:ilvl w:val="0"/>
          <w:numId w:val="9"/>
        </w:numPr>
        <w:spacing w:after="80" w:line="276"/>
      </w:pPr>
      <w:r>
        <w:rPr>
          <w:rFonts w:ascii="Arial" w:cs="Arial" w:eastAsia="Arial" w:hAnsi="Arial"/>
          <w:sz w:val="22"/>
          <w:szCs w:val="22"/>
        </w:rPr>
        <w:t xml:space="preserve">Established: E.O. 13382 designations; BIS Entity List; CCL classifications [Tier 1].</w:t>
      </w:r>
    </w:p>
    <w:p>
      <w:pPr>
        <w:pStyle w:val="ListParagraph"/>
        <w:numPr>
          <w:ilvl w:val="0"/>
          <w:numId w:val="9"/>
        </w:numPr>
        <w:spacing w:after="80" w:line="276"/>
      </w:pPr>
      <w:r>
        <w:rPr>
          <w:rFonts w:ascii="Arial" w:cs="Arial" w:eastAsia="Arial" w:hAnsi="Arial"/>
          <w:sz w:val="22"/>
          <w:szCs w:val="22"/>
        </w:rPr>
        <w:t xml:space="preserve">Requires development: documented notice service proof; post-notice transaction evidence; admissible evidence of knowledge; jurisdictional nexus.</w:t>
      </w:r>
    </w:p>
    <w:p>
      <w:pPr>
        <w:pStyle w:val="ListParagraph"/>
        <w:numPr>
          <w:ilvl w:val="0"/>
          <w:numId w:val="9"/>
        </w:numPr>
        <w:spacing w:after="80" w:line="276"/>
      </w:pPr>
      <w:r>
        <w:rPr>
          <w:rFonts w:ascii="Arial" w:cs="Arial" w:eastAsia="Arial" w:hAnsi="Arial"/>
          <w:sz w:val="22"/>
          <w:szCs w:val="22"/>
        </w:rPr>
        <w:t xml:space="preserve">Insufficient without supplementation: notice delivery absent post-notice transaction linkage or jurisdictional nexus.</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0"/>
        </w:numPr>
        <w:spacing w:after="80" w:line="276"/>
      </w:pPr>
      <w:r>
        <w:rPr>
          <w:rFonts w:ascii="Arial" w:cs="Arial" w:eastAsia="Arial" w:hAnsi="Arial"/>
          <w:sz w:val="22"/>
          <w:szCs w:val="22"/>
        </w:rPr>
        <w:t xml:space="preserve">Scienter: constructive vs. actual knowledge distinction applies.</w:t>
      </w:r>
    </w:p>
    <w:p>
      <w:pPr>
        <w:pStyle w:val="ListParagraph"/>
        <w:numPr>
          <w:ilvl w:val="0"/>
          <w:numId w:val="10"/>
        </w:numPr>
        <w:spacing w:after="80" w:line="276"/>
      </w:pPr>
      <w:r>
        <w:rPr>
          <w:rFonts w:ascii="Arial" w:cs="Arial" w:eastAsia="Arial" w:hAnsi="Arial"/>
          <w:sz w:val="22"/>
          <w:szCs w:val="22"/>
        </w:rPr>
        <w:t xml:space="preserve">Dual-use defense: legitimate industrial applications remain available at trial.</w:t>
      </w:r>
    </w:p>
    <w:p>
      <w:pPr>
        <w:pStyle w:val="ListParagraph"/>
        <w:numPr>
          <w:ilvl w:val="0"/>
          <w:numId w:val="10"/>
        </w:numPr>
        <w:spacing w:after="80" w:line="276"/>
      </w:pPr>
      <w:r>
        <w:rPr>
          <w:rFonts w:ascii="Arial" w:cs="Arial" w:eastAsia="Arial" w:hAnsi="Arial"/>
          <w:sz w:val="22"/>
          <w:szCs w:val="22"/>
        </w:rPr>
        <w:t xml:space="preserve">Extraterritorial jurisdiction: case-specific nexus required.</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Where notice is documented and subsequent transactions can be linked to designated entities, the procedure may materially strengthen the evidentiary basis for investigative consideration, subject to case-specific proof of knowledge, intent, and jurisdictional nexus.</w:t>
      </w:r>
    </w:p>
    <w:p>
      <w:pPr>
        <w:pStyle w:val="Heading2"/>
        <w:spacing w:after="160" w:before="280"/>
      </w:pPr>
      <w:r>
        <w:rPr>
          <w:rFonts w:ascii="Arial" w:cs="Arial" w:eastAsia="Arial" w:hAnsi="Arial"/>
          <w:b/>
          <w:bCs/>
          <w:color w:val="1B2A4A"/>
          <w:sz w:val="24"/>
          <w:szCs w:val="24"/>
        </w:rPr>
        <w:t xml:space="preserve">5.3 Whistleblower Program</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31 U.S.C. § 5323. Compensation: 10–30%, capped at $5M.</w:t>
      </w:r>
    </w:p>
    <w:p>
      <w:pPr>
        <w:spacing w:after="120" w:before="200"/>
      </w:pPr>
      <w:r>
        <w:rPr>
          <w:rFonts w:ascii="Arial" w:cs="Arial" w:eastAsia="Arial" w:hAnsi="Arial"/>
          <w:b/>
          <w:bCs/>
          <w:color w:val="4A5568"/>
          <w:sz w:val="22"/>
          <w:szCs w:val="22"/>
        </w:rPr>
        <w:t xml:space="preserve">CPF-Specific Targets</w:t>
      </w:r>
    </w:p>
    <w:p>
      <w:pPr>
        <w:pStyle w:val="ListParagraph"/>
        <w:numPr>
          <w:ilvl w:val="0"/>
          <w:numId w:val="11"/>
        </w:numPr>
        <w:spacing w:after="80" w:line="276"/>
      </w:pPr>
      <w:r>
        <w:rPr>
          <w:rFonts w:ascii="Arial" w:cs="Arial" w:eastAsia="Arial" w:hAnsi="Arial"/>
          <w:sz w:val="22"/>
          <w:szCs w:val="22"/>
        </w:rPr>
        <w:t xml:space="preserve">Compliance officers at PRC banks processing Iranian oil payments.</w:t>
      </w:r>
    </w:p>
    <w:p>
      <w:pPr>
        <w:pStyle w:val="ListParagraph"/>
        <w:numPr>
          <w:ilvl w:val="0"/>
          <w:numId w:val="11"/>
        </w:numPr>
        <w:spacing w:after="80" w:line="276"/>
      </w:pPr>
      <w:r>
        <w:rPr>
          <w:rFonts w:ascii="Arial" w:cs="Arial" w:eastAsia="Arial" w:hAnsi="Arial"/>
          <w:sz w:val="22"/>
          <w:szCs w:val="22"/>
        </w:rPr>
        <w:t xml:space="preserve">Logistics managers at UAE freight forwarders shipping dual-use technology.</w:t>
      </w:r>
    </w:p>
    <w:p>
      <w:pPr>
        <w:pStyle w:val="ListParagraph"/>
        <w:numPr>
          <w:ilvl w:val="0"/>
          <w:numId w:val="11"/>
        </w:numPr>
        <w:spacing w:after="80" w:line="276"/>
      </w:pPr>
      <w:r>
        <w:rPr>
          <w:rFonts w:ascii="Arial" w:cs="Arial" w:eastAsia="Arial" w:hAnsi="Arial"/>
          <w:sz w:val="22"/>
          <w:szCs w:val="22"/>
        </w:rPr>
        <w:t xml:space="preserve">IT specialists at Turkish exchange houses with transaction access.</w:t>
      </w:r>
    </w:p>
    <w:p>
      <w:pPr>
        <w:pStyle w:val="ListParagraph"/>
        <w:numPr>
          <w:ilvl w:val="0"/>
          <w:numId w:val="11"/>
        </w:numPr>
        <w:spacing w:after="80" w:line="276"/>
      </w:pPr>
      <w:r>
        <w:rPr>
          <w:rFonts w:ascii="Arial" w:cs="Arial" w:eastAsia="Arial" w:hAnsi="Arial"/>
          <w:sz w:val="22"/>
          <w:szCs w:val="22"/>
        </w:rPr>
        <w:t xml:space="preserve">Engineers at Russian defense firms facilitating Iran technology transfers.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FinCEN determines awards. FBI retains witness protection discretion. Effectiveness in PRC state-enterprise environments is analytically inferred; no direct precedent. Cultural, legal (PRC state secrecy law), and security barriers not well characterized.</w:t>
      </w:r>
    </w:p>
    <w:p>
      <w:pPr>
        <w:pStyle w:val="Heading2"/>
        <w:spacing w:after="160" w:before="280"/>
      </w:pPr>
      <w:r>
        <w:rPr>
          <w:rFonts w:ascii="Arial" w:cs="Arial" w:eastAsia="Arial" w:hAnsi="Arial"/>
          <w:b/>
          <w:bCs/>
          <w:color w:val="1B2A4A"/>
          <w:sz w:val="24"/>
          <w:szCs w:val="24"/>
        </w:rPr>
        <w:t xml:space="preserve">5.4 Asset Substitution</w:t>
      </w:r>
    </w:p>
    <w:p>
      <w:pPr>
        <w:spacing w:after="120" w:line="276"/>
      </w:pPr>
      <w:r>
        <w:rPr>
          <w:rFonts w:ascii="Arial" w:cs="Arial" w:eastAsia="Arial" w:hAnsi="Arial"/>
          <w:sz w:val="22"/>
          <w:szCs w:val="22"/>
        </w:rPr>
        <w:t xml:space="preserve">18 U.S.C. § 981(k). DOJ files civil forfeiture; seizure from correspondent accounts as substitute assets. Precedent: $2.8B USVSST distribution [Tier 1]. Principal legal risks: sovereign immunity (FSIA), due process, proportionality. PRC state intervention threshold is a key unknown.</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DOJ prosecutorial discretion. Main Justice and NSC review required for actions against PRC state-owned banks. Diplomatic equities are significant.</w:t>
      </w:r>
    </w:p>
    <w:p>
      <w:pPr>
        <w:pStyle w:val="Heading2"/>
        <w:spacing w:after="160" w:before="280"/>
      </w:pPr>
      <w:r>
        <w:rPr>
          <w:rFonts w:ascii="Arial" w:cs="Arial" w:eastAsia="Arial" w:hAnsi="Arial"/>
          <w:b/>
          <w:bCs/>
          <w:color w:val="1B2A4A"/>
          <w:sz w:val="24"/>
          <w:szCs w:val="24"/>
        </w:rPr>
        <w:t xml:space="preserve">5.5 Decision Authority Summary</w:t>
      </w:r>
    </w:p>
    <w:p>
      <w:pPr>
        <w:pStyle w:val="ListParagraph"/>
        <w:numPr>
          <w:ilvl w:val="0"/>
          <w:numId w:val="12"/>
        </w:numPr>
        <w:spacing w:after="80" w:line="276"/>
      </w:pPr>
      <w:r>
        <w:rPr>
          <w:rFonts w:ascii="Arial" w:cs="Arial" w:eastAsia="Arial" w:hAnsi="Arial"/>
          <w:sz w:val="22"/>
          <w:szCs w:val="22"/>
        </w:rPr>
        <w:t xml:space="preserve">FinCEN: § 5318A finding and special measures discretion.</w:t>
      </w:r>
    </w:p>
    <w:p>
      <w:pPr>
        <w:pStyle w:val="ListParagraph"/>
        <w:numPr>
          <w:ilvl w:val="0"/>
          <w:numId w:val="12"/>
        </w:numPr>
        <w:spacing w:after="80" w:line="276"/>
      </w:pPr>
      <w:r>
        <w:rPr>
          <w:rFonts w:ascii="Arial" w:cs="Arial" w:eastAsia="Arial" w:hAnsi="Arial"/>
          <w:sz w:val="22"/>
          <w:szCs w:val="22"/>
        </w:rPr>
        <w:t xml:space="preserve">OFAC: E.O. 13382 designation discretion.</w:t>
      </w:r>
    </w:p>
    <w:p>
      <w:pPr>
        <w:pStyle w:val="ListParagraph"/>
        <w:numPr>
          <w:ilvl w:val="0"/>
          <w:numId w:val="12"/>
        </w:numPr>
        <w:spacing w:after="80" w:line="276"/>
      </w:pPr>
      <w:r>
        <w:rPr>
          <w:rFonts w:ascii="Arial" w:cs="Arial" w:eastAsia="Arial" w:hAnsi="Arial"/>
          <w:sz w:val="22"/>
          <w:szCs w:val="22"/>
        </w:rPr>
        <w:t xml:space="preserve">BIS: Entity List and FDPR enforcement discretion.</w:t>
      </w:r>
    </w:p>
    <w:p>
      <w:pPr>
        <w:pStyle w:val="ListParagraph"/>
        <w:numPr>
          <w:ilvl w:val="0"/>
          <w:numId w:val="12"/>
        </w:numPr>
        <w:spacing w:after="80" w:line="276"/>
      </w:pPr>
      <w:r>
        <w:rPr>
          <w:rFonts w:ascii="Arial" w:cs="Arial" w:eastAsia="Arial" w:hAnsi="Arial"/>
          <w:sz w:val="22"/>
          <w:szCs w:val="22"/>
        </w:rPr>
        <w:t xml:space="preserve">DOJ (AFMLS / NSD): prosecutorial discretion for § 981(k), § 4819, § 2339D.</w:t>
      </w:r>
    </w:p>
    <w:p>
      <w:pPr>
        <w:pStyle w:val="ListParagraph"/>
        <w:numPr>
          <w:ilvl w:val="0"/>
          <w:numId w:val="12"/>
        </w:numPr>
        <w:spacing w:after="80" w:line="276"/>
      </w:pPr>
      <w:r>
        <w:rPr>
          <w:rFonts w:ascii="Arial" w:cs="Arial" w:eastAsia="Arial" w:hAnsi="Arial"/>
          <w:sz w:val="22"/>
          <w:szCs w:val="22"/>
        </w:rPr>
        <w:t xml:space="preserve">State Department: secondary sanctions implementation and diplomatic equities.</w:t>
      </w:r>
    </w:p>
    <w:p>
      <w:pPr>
        <w:pStyle w:val="ListParagraph"/>
        <w:numPr>
          <w:ilvl w:val="0"/>
          <w:numId w:val="12"/>
        </w:numPr>
        <w:spacing w:after="80" w:line="276"/>
      </w:pPr>
      <w:r>
        <w:rPr>
          <w:rFonts w:ascii="Arial" w:cs="Arial" w:eastAsia="Arial" w:hAnsi="Arial"/>
          <w:sz w:val="22"/>
          <w:szCs w:val="22"/>
        </w:rPr>
        <w:t xml:space="preserve">Executive Branch (NSC): policy-level escalation for actions with significant foreign policy consequences.</w:t>
      </w:r>
    </w:p>
    <w:p>
      <w:pPr>
        <w:spacing w:after="120" w:line="276"/>
      </w:pPr>
      <w:r>
        <w:rPr>
          <w:rFonts w:ascii="Arial" w:cs="Arial" w:eastAsia="Arial" w:hAnsi="Arial"/>
          <w:sz w:val="22"/>
          <w:szCs w:val="22"/>
        </w:rPr>
        <w:t xml:space="preserve">None of the above authorities operate automatically; each action remains subject to evidentiary sufficiency, interagency coordination, and executive discretion.</w:t>
      </w:r>
    </w:p>
    <w:p>
      <w:pPr>
        <w:pStyle w:val="Heading1"/>
        <w:spacing w:after="200" w:before="360"/>
      </w:pPr>
      <w:r>
        <w:rPr>
          <w:rFonts w:ascii="Arial" w:cs="Arial" w:eastAsia="Arial" w:hAnsi="Arial"/>
          <w:b/>
          <w:bCs/>
          <w:color w:val="1B2A4A"/>
          <w:sz w:val="30"/>
          <w:szCs w:val="30"/>
        </w:rPr>
        <w:t xml:space="preserve">6. Secondary Sanctions Framework</w:t>
      </w:r>
    </w:p>
    <w:p>
      <w:pPr>
        <w:pStyle w:val="Heading2"/>
        <w:spacing w:after="160" w:before="280"/>
      </w:pPr>
      <w:r>
        <w:rPr>
          <w:rFonts w:ascii="Arial" w:cs="Arial" w:eastAsia="Arial" w:hAnsi="Arial"/>
          <w:b/>
          <w:bCs/>
          <w:color w:val="1B2A4A"/>
          <w:sz w:val="24"/>
          <w:szCs w:val="24"/>
        </w:rPr>
        <w:t xml:space="preserve">6.1 CAATSA (22 U.S.C. § 9241)</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Sanctions on non-U.S. persons in significant transactions with Russian defense/intelligence sectors.</w:t>
      </w:r>
    </w:p>
    <w:p>
      <w:pPr>
        <w:spacing w:after="120" w:before="200"/>
      </w:pPr>
      <w:r>
        <w:rPr>
          <w:rFonts w:ascii="Arial" w:cs="Arial" w:eastAsia="Arial" w:hAnsi="Arial"/>
          <w:b/>
          <w:bCs/>
          <w:color w:val="4A5568"/>
          <w:sz w:val="22"/>
          <w:szCs w:val="22"/>
        </w:rPr>
        <w:t xml:space="preserve">Threshold Showing</w:t>
      </w:r>
    </w:p>
    <w:p>
      <w:pPr>
        <w:spacing w:after="120" w:line="276"/>
      </w:pPr>
      <w:r>
        <w:rPr>
          <w:rFonts w:ascii="Arial" w:cs="Arial" w:eastAsia="Arial" w:hAnsi="Arial"/>
          <w:sz w:val="22"/>
          <w:szCs w:val="22"/>
        </w:rPr>
        <w:t xml:space="preserve">Significant transaction with designated Russian defense or intelligence entity. “Significant” determined case by case based on size, frequency, nature, and awareness.</w:t>
      </w:r>
    </w:p>
    <w:p>
      <w:pPr>
        <w:spacing w:after="120" w:before="200"/>
      </w:pPr>
      <w:r>
        <w:rPr>
          <w:rFonts w:ascii="Arial" w:cs="Arial" w:eastAsia="Arial" w:hAnsi="Arial"/>
          <w:b/>
          <w:bCs/>
          <w:color w:val="4A5568"/>
          <w:sz w:val="22"/>
          <w:szCs w:val="22"/>
        </w:rPr>
        <w:t xml:space="preserve">Implementation</w:t>
      </w:r>
    </w:p>
    <w:p>
      <w:pPr>
        <w:spacing w:after="120" w:line="276"/>
      </w:pPr>
      <w:r>
        <w:rPr>
          <w:rFonts w:ascii="Arial" w:cs="Arial" w:eastAsia="Arial" w:hAnsi="Arial"/>
          <w:sz w:val="22"/>
          <w:szCs w:val="22"/>
        </w:rPr>
        <w:t xml:space="preserve">180-day warning letters documenting: specific violation, statutory authority, compliance window, consequences (E.O. 13382 designation, USD correspondent denial, INA § 212(a)(3)(C) visa restrictions).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State Department and Treasury share implementation authority. Designation decisions subject to interagency review. Diplomatic equities—particularly with India and Turkey—require NSC-level consideration. PRC state willingness to absorb secondary sanctions costs on strategic sectors (semiconductor equipment, defense industry) is a key unknown.</w:t>
      </w:r>
    </w:p>
    <w:p>
      <w:pPr>
        <w:pStyle w:val="Heading2"/>
        <w:spacing w:after="160" w:before="280"/>
      </w:pPr>
      <w:r>
        <w:rPr>
          <w:rFonts w:ascii="Arial" w:cs="Arial" w:eastAsia="Arial" w:hAnsi="Arial"/>
          <w:b/>
          <w:bCs/>
          <w:color w:val="1B2A4A"/>
          <w:sz w:val="24"/>
          <w:szCs w:val="24"/>
        </w:rPr>
        <w:t xml:space="preserve">6.2 CISADA (22 U.S.C. § 8513)</w:t>
      </w:r>
    </w:p>
    <w:p>
      <w:pPr>
        <w:spacing w:after="120" w:line="276"/>
      </w:pPr>
      <w:r>
        <w:rPr>
          <w:rFonts w:ascii="Arial" w:cs="Arial" w:eastAsia="Arial" w:hAnsi="Arial"/>
          <w:sz w:val="22"/>
          <w:szCs w:val="22"/>
        </w:rPr>
        <w:t xml:space="preserve">Target foreign financial institutions facilitating Iranian petroleum transactions or SWIFT alternatives (SEPAM/SPFS). Threshold: significant financial transaction knowingly facilitating Iranian petroleum exports or weapons procurement.</w:t>
      </w:r>
    </w:p>
    <w:p>
      <w:pPr>
        <w:pStyle w:val="Heading2"/>
        <w:spacing w:after="160" w:before="280"/>
      </w:pPr>
      <w:r>
        <w:rPr>
          <w:rFonts w:ascii="Arial" w:cs="Arial" w:eastAsia="Arial" w:hAnsi="Arial"/>
          <w:b/>
          <w:bCs/>
          <w:color w:val="1B2A4A"/>
          <w:sz w:val="24"/>
          <w:szCs w:val="24"/>
        </w:rPr>
        <w:t xml:space="preserve">6.3 NKSPEA (22 U.S.C. § 9214)</w:t>
      </w:r>
    </w:p>
    <w:p>
      <w:pPr>
        <w:spacing w:after="120" w:line="276"/>
      </w:pPr>
      <w:r>
        <w:rPr>
          <w:rFonts w:ascii="Arial" w:cs="Arial" w:eastAsia="Arial" w:hAnsi="Arial"/>
          <w:sz w:val="22"/>
          <w:szCs w:val="22"/>
        </w:rPr>
        <w:t xml:space="preserve">Designate PRC entities in significant DPRK dual-use trade. Focus: semiconductor fabrication equipment, precision machine tools, specialized alloys.</w:t>
      </w:r>
    </w:p>
    <w:p>
      <w:pPr>
        <w:pStyle w:val="Heading1"/>
        <w:spacing w:after="200" w:before="360"/>
      </w:pPr>
      <w:r>
        <w:rPr>
          <w:rFonts w:ascii="Arial" w:cs="Arial" w:eastAsia="Arial" w:hAnsi="Arial"/>
          <w:b/>
          <w:bCs/>
          <w:color w:val="1B2A4A"/>
          <w:sz w:val="30"/>
          <w:szCs w:val="30"/>
        </w:rPr>
        <w:t xml:space="preserve">7. Maritime De-Flagging Enforcement</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Potential executive action could include direction to Treasury/State to evaluate flag registries (Panama, Liberia, Marshall Islands, Comoros) for designation under E.O. 13382 if they fail to de-flag OFAC-sanctioned vessels on rapid compliance timelines.</w:t>
      </w:r>
    </w:p>
    <w:p>
      <w:pPr>
        <w:spacing w:after="120" w:before="200"/>
      </w:pPr>
      <w:r>
        <w:rPr>
          <w:rFonts w:ascii="Arial" w:cs="Arial" w:eastAsia="Arial" w:hAnsi="Arial"/>
          <w:b/>
          <w:bCs/>
          <w:color w:val="4A5568"/>
          <w:sz w:val="22"/>
          <w:szCs w:val="22"/>
        </w:rPr>
        <w:t xml:space="preserve">Designation Options (Graduated)</w:t>
      </w:r>
    </w:p>
    <w:p>
      <w:pPr>
        <w:pStyle w:val="ListParagraph"/>
        <w:numPr>
          <w:ilvl w:val="0"/>
          <w:numId w:val="13"/>
        </w:numPr>
        <w:spacing w:after="80" w:line="276"/>
      </w:pPr>
      <w:r>
        <w:rPr>
          <w:rFonts w:ascii="Arial" w:cs="Arial" w:eastAsia="Arial" w:hAnsi="Arial"/>
          <w:sz w:val="22"/>
          <w:szCs w:val="22"/>
        </w:rPr>
        <w:t xml:space="preserve">Narrow: targeted notification to individual registries regarding specific sanctioned vessels, with compliance monitoring. Lowest diplomatic risk. Limited systemic effect.</w:t>
      </w:r>
    </w:p>
    <w:p>
      <w:pPr>
        <w:pStyle w:val="ListParagraph"/>
        <w:numPr>
          <w:ilvl w:val="0"/>
          <w:numId w:val="13"/>
        </w:numPr>
        <w:spacing w:after="80" w:line="276"/>
      </w:pPr>
      <w:r>
        <w:rPr>
          <w:rFonts w:ascii="Arial" w:cs="Arial" w:eastAsia="Arial" w:hAnsi="Arial"/>
          <w:sz w:val="22"/>
          <w:szCs w:val="22"/>
        </w:rPr>
        <w:t xml:space="preserve">Intermediate: conditional designation threat tied to compliance metrics (e.g., de-flagging within specified timeframes for vessels identified in OFAC designations). Moderate diplomatic risk. Meaningful systemic pressure.</w:t>
      </w:r>
    </w:p>
    <w:p>
      <w:pPr>
        <w:pStyle w:val="ListParagraph"/>
        <w:numPr>
          <w:ilvl w:val="0"/>
          <w:numId w:val="13"/>
        </w:numPr>
        <w:spacing w:after="80" w:line="276"/>
      </w:pPr>
      <w:r>
        <w:rPr>
          <w:rFonts w:ascii="Arial" w:cs="Arial" w:eastAsia="Arial" w:hAnsi="Arial"/>
          <w:sz w:val="22"/>
          <w:szCs w:val="22"/>
        </w:rPr>
        <w:t xml:space="preserve">Broad: blanket E.O. 13382 designation of non-compliant registries. Highest diplomatic risk. Maximum systemic pressure. Strongest legal challenge exposure.</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4"/>
        </w:numPr>
        <w:spacing w:after="80" w:line="276"/>
      </w:pPr>
      <w:r>
        <w:rPr>
          <w:rFonts w:ascii="Arial" w:cs="Arial" w:eastAsia="Arial" w:hAnsi="Arial"/>
          <w:sz w:val="22"/>
          <w:szCs w:val="22"/>
        </w:rPr>
        <w:t xml:space="preserve">No precedent for registry-level E.O. 13382 designation; first-impression statutory interpretation.</w:t>
      </w:r>
    </w:p>
    <w:p>
      <w:pPr>
        <w:pStyle w:val="ListParagraph"/>
        <w:numPr>
          <w:ilvl w:val="0"/>
          <w:numId w:val="14"/>
        </w:numPr>
        <w:spacing w:after="80" w:line="276"/>
      </w:pPr>
      <w:r>
        <w:rPr>
          <w:rFonts w:ascii="Arial" w:cs="Arial" w:eastAsia="Arial" w:hAnsi="Arial"/>
          <w:sz w:val="22"/>
          <w:szCs w:val="22"/>
        </w:rPr>
        <w:t xml:space="preserve">Proportionality: blanket registry designation may face challenge as disproportionate to identified proliferation risk.</w:t>
      </w:r>
    </w:p>
    <w:p>
      <w:pPr>
        <w:pStyle w:val="ListParagraph"/>
        <w:numPr>
          <w:ilvl w:val="0"/>
          <w:numId w:val="14"/>
        </w:numPr>
        <w:spacing w:after="80" w:line="276"/>
      </w:pPr>
      <w:r>
        <w:rPr>
          <w:rFonts w:ascii="Arial" w:cs="Arial" w:eastAsia="Arial" w:hAnsi="Arial"/>
          <w:sz w:val="22"/>
          <w:szCs w:val="22"/>
        </w:rPr>
        <w:t xml:space="preserve">Diplomatic consequences: flag registries are sovereign commercial operations; designation may trigger bilateral disputes.</w:t>
      </w:r>
    </w:p>
    <w:p>
      <w:pPr>
        <w:pStyle w:val="ListParagraph"/>
        <w:numPr>
          <w:ilvl w:val="0"/>
          <w:numId w:val="14"/>
        </w:numPr>
        <w:spacing w:after="80" w:line="276"/>
      </w:pPr>
      <w:r>
        <w:rPr>
          <w:rFonts w:ascii="Arial" w:cs="Arial" w:eastAsia="Arial" w:hAnsi="Arial"/>
          <w:sz w:val="22"/>
          <w:szCs w:val="22"/>
        </w:rPr>
        <w:t xml:space="preserve">Evasion: flag-of-convenience cycling to non-sanctioned registries may limit effectiveness.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RECORD REQUIREMENT: </w:t>
      </w:r>
      <w:r>
        <w:rPr>
          <w:rFonts w:ascii="Arial" w:cs="Arial" w:eastAsia="Arial" w:hAnsi="Arial"/>
          <w:sz w:val="20"/>
          <w:szCs w:val="20"/>
        </w:rPr>
        <w:t xml:space="preserve">Minimum record for registry-level action: (1) documented pattern of registry failure to de-flag sanctioned vessels; (2) notification history and registry non-response; (3) nexus between flagged vessels and proliferation activity; (4) proportionality analysis including impact on lawful maritime commerce.</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sustained, P&amp;I club coverage denial is assessed as likely to constrain international shipping capability for affected vessels. Registries are profit-driven entities assessed as likely to prioritize commercial legitimacy, subject to flag-of-convenience substitution dynamics. Iran oil export reduction under base-case assumptions: 20–50%, subject to significant uncertainty regarding alternative export mechanisms.</w:t>
      </w:r>
    </w:p>
    <w:p>
      <w:pPr>
        <w:pStyle w:val="Heading1"/>
        <w:spacing w:after="200" w:before="360"/>
      </w:pPr>
      <w:r>
        <w:rPr>
          <w:rFonts w:ascii="Arial" w:cs="Arial" w:eastAsia="Arial" w:hAnsi="Arial"/>
          <w:b/>
          <w:bCs/>
          <w:color w:val="1B2A4A"/>
          <w:sz w:val="30"/>
          <w:szCs w:val="30"/>
        </w:rPr>
        <w:t xml:space="preserve">8. Cryptocurrency and Proliferation Finance</w:t>
      </w:r>
    </w:p>
    <w:p>
      <w:pPr>
        <w:spacing w:after="120" w:line="276"/>
      </w:pPr>
      <w:r>
        <w:rPr>
          <w:rFonts w:ascii="Arial" w:cs="Arial" w:eastAsia="Arial" w:hAnsi="Arial"/>
          <w:sz w:val="22"/>
          <w:szCs w:val="22"/>
          <w:color w:val="000000"/>
        </w:rPr>
        <w:t xml:space="preserve">Blockchain analysis (Chainalysis Q4 2025) identified $2.1 billion in proliferation-linked cryptocurrency transactions in 2024–2025 [Tier 2 — Chainalysis Q4 2025]. 31 U.S.C. § 5318A(a)(1) authorizes PMLC designation of exchanges and DeFi protocols [Tier 1 — FinCEN-2022-001]. Precedent: Garantex/Tornado Cash designations 2024 [Tier 1].</w:t>
      </w:r>
    </w:p>
    <w:p>
      <w:pPr>
        <w:spacing w:after="120" w:before="200"/>
      </w:pPr>
      <w:r>
        <w:rPr>
          <w:rFonts w:ascii="Arial" w:cs="Arial" w:eastAsia="Arial" w:hAnsi="Arial"/>
          <w:b/>
          <w:bCs/>
          <w:color w:val="4A5568"/>
          <w:sz w:val="22"/>
          <w:szCs w:val="22"/>
        </w:rPr>
        <w:t xml:space="preserve">Proliferation-Linked Crypto: Distinctive Characteristics</w:t>
      </w:r>
    </w:p>
    <w:p>
      <w:pPr>
        <w:spacing w:after="120" w:line="276"/>
      </w:pPr>
      <w:r>
        <w:rPr>
          <w:rFonts w:ascii="Arial" w:cs="Arial" w:eastAsia="Arial" w:hAnsi="Arial"/>
          <w:sz w:val="22"/>
          <w:szCs w:val="22"/>
          <w:color w:val="000000"/>
        </w:rPr>
        <w:t xml:space="preserve">Proliferation-linked cryptocurrency transactions differ materially from terrorist financing crypto in several dimensions that affect enforcement approach:</w:t>
      </w:r>
    </w:p>
    <w:p>
      <w:pPr>
        <w:spacing w:after="120" w:line="276"/>
      </w:pPr>
      <w:r>
        <w:rPr>
          <w:rFonts w:ascii="Arial" w:cs="Arial" w:eastAsia="Arial" w:hAnsi="Arial"/>
          <w:sz w:val="22"/>
          <w:szCs w:val="22"/>
          <w:color w:val="000000"/>
        </w:rPr>
        <w:t xml:space="preserve">Transaction scale: Procurement-scale transactions (typically $100K–$10M per transaction for dual-use technology acquisition) rather than donation-scale ($50–$5K). Fewer transactions but higher individual value reduces blockchain noise but increases per-transaction obfuscation investment.</w:t>
      </w:r>
    </w:p>
    <w:p>
      <w:pPr>
        <w:spacing w:after="120" w:line="276"/>
      </w:pPr>
      <w:r>
        <w:rPr>
          <w:rFonts w:ascii="Arial" w:cs="Arial" w:eastAsia="Arial" w:hAnsi="Arial"/>
          <w:sz w:val="22"/>
          <w:szCs w:val="22"/>
          <w:color w:val="000000"/>
        </w:rPr>
        <w:t xml:space="preserve">Actor sophistication: State-sponsored actors (DPRK Lazarus Group, Iranian procurement networks) deploy more sophisticated mixing, chain-hopping, and privacy coin techniques than non-state TF actors. DPRK operations estimated at $500M annually in BTC/ETH through dedicated mining operations and exchange exploitation [Tier 2 — Chainalysis/industry estimates].</w:t>
      </w:r>
    </w:p>
    <w:p>
      <w:pPr>
        <w:spacing w:after="120" w:line="276"/>
      </w:pPr>
      <w:r>
        <w:rPr>
          <w:rFonts w:ascii="Arial" w:cs="Arial" w:eastAsia="Arial" w:hAnsi="Arial"/>
          <w:sz w:val="22"/>
          <w:szCs w:val="22"/>
          <w:color w:val="000000"/>
        </w:rPr>
        <w:t xml:space="preserve">Forensic challenges: Fewer transactions reduce clustering algorithm effectiveness. Higher obfuscation investment (privacy coins, cross-chain bridges, nested mixing) increases Daubert vulnerability for blockchain forensic evidence. State-actor operational security exceeds typical non-state TF actor tradecraft.</w:t>
      </w:r>
    </w:p>
    <w:p>
      <w:pPr>
        <w:spacing w:after="120" w:before="200"/>
      </w:pPr>
      <w:r>
        <w:rPr>
          <w:rFonts w:ascii="Arial" w:cs="Arial" w:eastAsia="Arial" w:hAnsi="Arial"/>
          <w:b/>
          <w:bCs/>
          <w:color w:val="4A5568"/>
          <w:sz w:val="22"/>
          <w:szCs w:val="22"/>
        </w:rPr>
        <w:t xml:space="preserve">Enforcement Mechanisms</w:t>
      </w:r>
    </w:p>
    <w:p>
      <w:pPr>
        <w:spacing w:after="120" w:line="276"/>
      </w:pPr>
      <w:r>
        <w:rPr>
          <w:rFonts w:ascii="Arial" w:cs="Arial" w:eastAsia="Arial" w:hAnsi="Arial"/>
          <w:sz w:val="22"/>
          <w:szCs w:val="22"/>
          <w:color w:val="000000"/>
        </w:rPr>
        <w:t xml:space="preserve">Implementation: OFAC SDN wallet screening on U.S. platforms; transaction blocking under 31 C.F.R. § 1010.520; § 981(k) seizure of exchange-custodied funds; § 5323 whistleblower bounties targeting exchange compliance officers reporting E.O. 13382 violations. DPRK mining pool designation under E.O. 13382; U.S. cloud provider (AWS, Google Cloud, Azure) hosting termination under secondary sanctions authority.</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RECORD REQUIREMENT: </w:t>
      </w:r>
      <w:r>
        <w:rPr>
          <w:rFonts w:ascii="Arial" w:cs="Arial" w:eastAsia="Arial" w:hAnsi="Arial"/>
          <w:sz w:val="20"/>
          <w:szCs w:val="20"/>
        </w:rPr>
        <w:t xml:space="preserve">Each crypto PMLC designation requires: blockchain forensic report linking exchange volume to E.O. 13382 wallets; Chainalysis/Elliptic clustering analysis with methodology documentation sufficient for Daubert review; compliance deficiency documentation; proportionality analysis. Material proportion of designated-entity-linked volume required, as determined by blockchain forensic analysis.</w:t>
      </w:r>
    </w:p>
    <w:p>
      <w:pPr>
        <w:pStyle w:val="Heading1"/>
        <w:spacing w:after="200" w:before="360"/>
      </w:pPr>
      <w:r>
        <w:rPr>
          <w:rFonts w:ascii="Arial" w:cs="Arial" w:eastAsia="Arial" w:hAnsi="Arial"/>
          <w:b/>
          <w:bCs/>
          <w:color w:val="1B2A4A"/>
          <w:sz w:val="30"/>
          <w:szCs w:val="30"/>
        </w:rPr>
        <w:t xml:space="preserve">9. Semiconductor Supply Chain Chokepoints</w:t>
      </w:r>
    </w:p>
    <w:p>
      <w:pPr>
        <w:spacing w:after="120" w:line="276"/>
      </w:pPr>
      <w:r>
        <w:rPr>
          <w:rFonts w:ascii="Arial" w:cs="Arial" w:eastAsia="Arial" w:hAnsi="Arial"/>
          <w:sz w:val="22"/>
          <w:szCs w:val="22"/>
        </w:rPr>
        <w:t xml:space="preserve">Expand BIS Entity List to include supply chains serving designated proliferators: fabrication equipment manufacturers, specialty chemical suppliers, test/measurement equipment providers. Apply Foreign Direct Product Rule (FDPR) to prohibit non-U.S. firms from using U.S.-origin technology in products destined for Iran/DPRK/Russia. (Cross-reference: RESILIENCE-01.)</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BIS retains Entity List and FDPR enforcement discretion. FDPR expansion requires interagency consensus including State Department and DOD equities. Diplomatic consequences with allied semiconductor-producing nations (Japan, Netherlands, South Korea) require careful management.</w:t>
      </w:r>
    </w:p>
    <w:p>
      <w:pPr>
        <w:pStyle w:val="Heading1"/>
        <w:spacing w:after="200" w:before="360"/>
      </w:pPr>
      <w:r>
        <w:rPr>
          <w:rFonts w:ascii="Arial" w:cs="Arial" w:eastAsia="Arial" w:hAnsi="Arial"/>
          <w:b/>
          <w:bCs/>
          <w:color w:val="1B2A4A"/>
          <w:sz w:val="30"/>
          <w:szCs w:val="30"/>
        </w:rPr>
        <w:t xml:space="preserve">10. Alternative Explanations and Defensive Counterarguments</w:t>
      </w:r>
    </w:p>
    <w:p>
      <w:pPr>
        <w:pStyle w:val="ListParagraph"/>
        <w:numPr>
          <w:ilvl w:val="0"/>
          <w:numId w:val="15"/>
        </w:numPr>
        <w:spacing w:after="80" w:line="276"/>
      </w:pPr>
      <w:r>
        <w:rPr>
          <w:rFonts w:ascii="Arial" w:cs="Arial" w:eastAsia="Arial" w:hAnsi="Arial"/>
          <w:sz w:val="22"/>
          <w:szCs w:val="22"/>
        </w:rPr>
        <w:t xml:space="preserve">Lawful dual-use commerce: suppliers assert legitimate industrial applications. Strength: moderate absent notice; reduced post-notice.</w:t>
      </w:r>
    </w:p>
    <w:p>
      <w:pPr>
        <w:pStyle w:val="ListParagraph"/>
        <w:numPr>
          <w:ilvl w:val="0"/>
          <w:numId w:val="15"/>
        </w:numPr>
        <w:spacing w:after="80" w:line="276"/>
      </w:pPr>
      <w:r>
        <w:rPr>
          <w:rFonts w:ascii="Arial" w:cs="Arial" w:eastAsia="Arial" w:hAnsi="Arial"/>
          <w:sz w:val="22"/>
          <w:szCs w:val="22"/>
        </w:rPr>
        <w:t xml:space="preserve">Lack of end-user knowledge: intermediary chains may sever knowledge of ultimate end-user. Requires case-specific proof.</w:t>
      </w:r>
    </w:p>
    <w:p>
      <w:pPr>
        <w:pStyle w:val="ListParagraph"/>
        <w:numPr>
          <w:ilvl w:val="0"/>
          <w:numId w:val="15"/>
        </w:numPr>
        <w:spacing w:after="80" w:line="276"/>
      </w:pPr>
      <w:r>
        <w:rPr>
          <w:rFonts w:ascii="Arial" w:cs="Arial" w:eastAsia="Arial" w:hAnsi="Arial"/>
          <w:sz w:val="22"/>
          <w:szCs w:val="22"/>
        </w:rPr>
        <w:t xml:space="preserve">Foreign sovereign conflict: PRC anti-sanctions legislation may prohibit compliance with U.S. secondary sanctions. Strength: significant for PRC state enterprises.</w:t>
      </w:r>
    </w:p>
    <w:p>
      <w:pPr>
        <w:pStyle w:val="ListParagraph"/>
        <w:numPr>
          <w:ilvl w:val="0"/>
          <w:numId w:val="15"/>
        </w:numPr>
        <w:spacing w:after="80" w:line="276"/>
      </w:pPr>
      <w:r>
        <w:rPr>
          <w:rFonts w:ascii="Arial" w:cs="Arial" w:eastAsia="Arial" w:hAnsi="Arial"/>
          <w:sz w:val="22"/>
          <w:szCs w:val="22"/>
        </w:rPr>
        <w:t xml:space="preserve">Compliance burden disproportionality: secondary sanctions impose costs on lawful allied commerce. Strength: significant for broad CAATSA/CISADA application.</w:t>
      </w:r>
    </w:p>
    <w:p>
      <w:pPr>
        <w:pStyle w:val="ListParagraph"/>
        <w:numPr>
          <w:ilvl w:val="0"/>
          <w:numId w:val="15"/>
        </w:numPr>
        <w:spacing w:after="80" w:line="276"/>
      </w:pPr>
      <w:r>
        <w:rPr>
          <w:rFonts w:ascii="Arial" w:cs="Arial" w:eastAsia="Arial" w:hAnsi="Arial"/>
          <w:sz w:val="22"/>
          <w:szCs w:val="22"/>
        </w:rPr>
        <w:t xml:space="preserve">Attribution uncertainty: blockchain and trade flow analysis face reliability challenges. Daubert exposure on methodology.</w:t>
      </w:r>
    </w:p>
    <w:p>
      <w:pPr>
        <w:pStyle w:val="ListParagraph"/>
        <w:numPr>
          <w:ilvl w:val="0"/>
          <w:numId w:val="15"/>
        </w:numPr>
        <w:spacing w:after="80" w:line="276"/>
      </w:pPr>
      <w:r>
        <w:rPr>
          <w:rFonts w:ascii="Arial" w:cs="Arial" w:eastAsia="Arial" w:hAnsi="Arial"/>
          <w:sz w:val="22"/>
          <w:szCs w:val="22"/>
        </w:rPr>
        <w:t xml:space="preserve">Registry sovereignty: flag registries may assert sovereign commercial operations not subject to unilateral U.S. designation.</w:t>
      </w:r>
    </w:p>
    <w:p>
      <w:pPr>
        <w:pStyle w:val="ListParagraph"/>
        <w:numPr>
          <w:ilvl w:val="0"/>
          <w:numId w:val="15"/>
        </w:numPr>
        <w:spacing w:after="80" w:line="276"/>
      </w:pPr>
      <w:r>
        <w:rPr>
          <w:rFonts w:ascii="Arial" w:cs="Arial" w:eastAsia="Arial" w:hAnsi="Arial"/>
          <w:sz w:val="22"/>
          <w:szCs w:val="22"/>
        </w:rPr>
        <w:t xml:space="preserve">Humanitarian impact: NPT Article IV peaceful-use arguments for nuclear-related enforcement.</w:t>
      </w:r>
    </w:p>
    <w:p>
      <w:pPr>
        <w:pStyle w:val="Heading1"/>
        <w:spacing w:after="200" w:before="360"/>
      </w:pPr>
      <w:r>
        <w:rPr>
          <w:rFonts w:ascii="Arial" w:cs="Arial" w:eastAsia="Arial" w:hAnsi="Arial"/>
          <w:b/>
          <w:bCs/>
          <w:color w:val="1B2A4A"/>
          <w:sz w:val="30"/>
          <w:szCs w:val="30"/>
        </w:rPr>
        <w:t xml:space="preserve">11. Humanitarian Safeguards</w:t>
      </w:r>
    </w:p>
    <w:p>
      <w:pPr>
        <w:spacing w:after="120" w:line="276"/>
      </w:pPr>
      <w:r>
        <w:rPr>
          <w:rFonts w:ascii="Arial" w:cs="Arial" w:eastAsia="Arial" w:hAnsi="Arial"/>
          <w:sz w:val="22"/>
          <w:szCs w:val="22"/>
        </w:rPr>
        <w:t xml:space="preserve">OFAC GL framework maintained: GL-D, GL-H (31 C.F.R. § 560.530), GL-43 (31 C.F.R. § 510.516), country-specific medicine/medical GLs [Tier 1]. Enhanced end-use monitoring required. Humanitarian impact screening is a mandatory pre-action requirement.</w:t>
      </w:r>
    </w:p>
    <w:p>
      <w:pPr>
        <w:pStyle w:val="Heading1"/>
        <w:spacing w:after="200" w:before="360"/>
      </w:pPr>
      <w:r>
        <w:rPr>
          <w:rFonts w:ascii="Arial" w:cs="Arial" w:eastAsia="Arial" w:hAnsi="Arial"/>
          <w:b/>
          <w:bCs/>
          <w:color w:val="1B2A4A"/>
          <w:sz w:val="30"/>
          <w:szCs w:val="30"/>
        </w:rPr>
        <w:t xml:space="preserve">12. Key Unknowns and Record Limitations</w:t>
      </w:r>
    </w:p>
    <w:p>
      <w:pPr>
        <w:pStyle w:val="ListParagraph"/>
        <w:numPr>
          <w:ilvl w:val="0"/>
          <w:numId w:val="16"/>
        </w:numPr>
        <w:spacing w:after="80" w:line="276"/>
      </w:pPr>
      <w:r>
        <w:rPr>
          <w:rFonts w:ascii="Arial" w:cs="Arial" w:eastAsia="Arial" w:hAnsi="Arial"/>
          <w:sz w:val="22"/>
          <w:szCs w:val="22"/>
        </w:rPr>
        <w:t xml:space="preserve">PRC secondary sanctions absorption threshold: retaliation escalation triggers not established.</w:t>
      </w:r>
    </w:p>
    <w:p>
      <w:pPr>
        <w:pStyle w:val="ListParagraph"/>
        <w:numPr>
          <w:ilvl w:val="0"/>
          <w:numId w:val="16"/>
        </w:numPr>
        <w:spacing w:after="80" w:line="276"/>
      </w:pPr>
      <w:r>
        <w:rPr>
          <w:rFonts w:ascii="Arial" w:cs="Arial" w:eastAsia="Arial" w:hAnsi="Arial"/>
          <w:sz w:val="22"/>
          <w:szCs w:val="22"/>
        </w:rPr>
        <w:t xml:space="preserve">Flag registry compliance dynamics: no precedent for registry-level designation; projected timelines analytically inferred.</w:t>
      </w:r>
    </w:p>
    <w:p>
      <w:pPr>
        <w:pStyle w:val="ListParagraph"/>
        <w:numPr>
          <w:ilvl w:val="0"/>
          <w:numId w:val="16"/>
        </w:numPr>
        <w:spacing w:after="80" w:line="276"/>
      </w:pPr>
      <w:r>
        <w:rPr>
          <w:rFonts w:ascii="Arial" w:cs="Arial" w:eastAsia="Arial" w:hAnsi="Arial"/>
          <w:sz w:val="22"/>
          <w:szCs w:val="22"/>
        </w:rPr>
        <w:t xml:space="preserve">Iran oil export adaptation: alternative mechanisms (bilateral settlement, non-dollar invoicing, alternative registries).</w:t>
      </w:r>
    </w:p>
    <w:p>
      <w:pPr>
        <w:pStyle w:val="ListParagraph"/>
        <w:numPr>
          <w:ilvl w:val="0"/>
          <w:numId w:val="16"/>
        </w:numPr>
        <w:spacing w:after="80" w:line="276"/>
      </w:pPr>
      <w:r>
        <w:rPr>
          <w:rFonts w:ascii="Arial" w:cs="Arial" w:eastAsia="Arial" w:hAnsi="Arial"/>
          <w:sz w:val="22"/>
          <w:szCs w:val="22"/>
        </w:rPr>
        <w:t xml:space="preserve">DPRK crypto adaptation: Lazarus Group migration speed to new protocols.</w:t>
      </w:r>
    </w:p>
    <w:p>
      <w:pPr>
        <w:pStyle w:val="ListParagraph"/>
        <w:numPr>
          <w:ilvl w:val="0"/>
          <w:numId w:val="16"/>
        </w:numPr>
        <w:spacing w:after="80" w:line="276"/>
      </w:pPr>
      <w:r>
        <w:rPr>
          <w:rFonts w:ascii="Arial" w:cs="Arial" w:eastAsia="Arial" w:hAnsi="Arial"/>
          <w:sz w:val="22"/>
          <w:szCs w:val="22"/>
        </w:rPr>
        <w:t xml:space="preserve">Third-country compliance elasticity: India/Turkey/UAE willingness to comply vs. absorb costs.</w:t>
      </w:r>
    </w:p>
    <w:p>
      <w:pPr>
        <w:pStyle w:val="ListParagraph"/>
        <w:numPr>
          <w:ilvl w:val="0"/>
          <w:numId w:val="16"/>
        </w:numPr>
        <w:spacing w:after="80" w:line="276"/>
      </w:pPr>
      <w:r>
        <w:rPr>
          <w:rFonts w:ascii="Arial" w:cs="Arial" w:eastAsia="Arial" w:hAnsi="Arial"/>
          <w:sz w:val="22"/>
          <w:szCs w:val="22"/>
        </w:rPr>
        <w:t xml:space="preserve">Procurement network reconstitution: Iran/DPRK alternative channel development timelines.</w:t>
      </w:r>
    </w:p>
    <w:p>
      <w:pPr>
        <w:pStyle w:val="Heading1"/>
        <w:spacing w:after="200" w:before="360"/>
      </w:pPr>
      <w:r>
        <w:rPr>
          <w:rFonts w:ascii="Arial" w:cs="Arial" w:eastAsia="Arial" w:hAnsi="Arial"/>
          <w:b/>
          <w:bCs/>
          <w:color w:val="1B2A4A"/>
          <w:sz w:val="30"/>
          <w:szCs w:val="30"/>
        </w:rPr>
        <w:t xml:space="preserve">13. Adversary Adaptation Model</w:t>
      </w:r>
    </w:p>
    <w:p>
      <w:pPr>
        <w:pStyle w:val="ListParagraph"/>
        <w:numPr>
          <w:ilvl w:val="0"/>
          <w:numId w:val="17"/>
        </w:numPr>
        <w:spacing w:after="80" w:line="276"/>
      </w:pPr>
      <w:r>
        <w:rPr>
          <w:rFonts w:ascii="Arial" w:cs="Arial" w:eastAsia="Arial" w:hAnsi="Arial"/>
          <w:sz w:val="22"/>
          <w:szCs w:val="22"/>
        </w:rPr>
        <w:t xml:space="preserve">Geographic procurement diversification: migration to Africa, Southeast Asia, Central Asia [Moderate Confidence — Tier 2].</w:t>
      </w:r>
    </w:p>
    <w:p>
      <w:pPr>
        <w:pStyle w:val="ListParagraph"/>
        <w:numPr>
          <w:ilvl w:val="0"/>
          <w:numId w:val="17"/>
        </w:numPr>
        <w:spacing w:after="80" w:line="276"/>
      </w:pPr>
      <w:r>
        <w:rPr>
          <w:rFonts w:ascii="Arial" w:cs="Arial" w:eastAsia="Arial" w:hAnsi="Arial"/>
          <w:sz w:val="22"/>
          <w:szCs w:val="22"/>
        </w:rPr>
        <w:t xml:space="preserve">Non-dollar settlement: bilateral currency arrangements (RMB/ruble/rial).</w:t>
      </w:r>
    </w:p>
    <w:p>
      <w:pPr>
        <w:pStyle w:val="ListParagraph"/>
        <w:numPr>
          <w:ilvl w:val="0"/>
          <w:numId w:val="17"/>
        </w:numPr>
        <w:spacing w:after="80" w:line="276"/>
      </w:pPr>
      <w:r>
        <w:rPr>
          <w:rFonts w:ascii="Arial" w:cs="Arial" w:eastAsia="Arial" w:hAnsi="Arial"/>
          <w:sz w:val="22"/>
          <w:szCs w:val="22"/>
        </w:rPr>
        <w:t xml:space="preserve">Cryptocurrency pivot: DeFi, privacy coins, cross-chain bridges.</w:t>
      </w:r>
    </w:p>
    <w:p>
      <w:pPr>
        <w:pStyle w:val="ListParagraph"/>
        <w:numPr>
          <w:ilvl w:val="0"/>
          <w:numId w:val="17"/>
        </w:numPr>
        <w:spacing w:after="80" w:line="276"/>
      </w:pPr>
      <w:r>
        <w:rPr>
          <w:rFonts w:ascii="Arial" w:cs="Arial" w:eastAsia="Arial" w:hAnsi="Arial"/>
          <w:sz w:val="22"/>
          <w:szCs w:val="22"/>
        </w:rPr>
        <w:t xml:space="preserve">Flag-of-convenience cycling: rapid re-flagging through non-sanctioned registries.</w:t>
      </w:r>
    </w:p>
    <w:p>
      <w:pPr>
        <w:pStyle w:val="ListParagraph"/>
        <w:numPr>
          <w:ilvl w:val="0"/>
          <w:numId w:val="17"/>
        </w:numPr>
        <w:spacing w:after="80" w:line="276"/>
      </w:pPr>
      <w:r>
        <w:rPr>
          <w:rFonts w:ascii="Arial" w:cs="Arial" w:eastAsia="Arial" w:hAnsi="Arial"/>
          <w:sz w:val="22"/>
          <w:szCs w:val="22"/>
        </w:rPr>
        <w:t xml:space="preserve">Ship-to-ship transfers: increased STS operations in international waters.</w:t>
      </w:r>
    </w:p>
    <w:p>
      <w:pPr>
        <w:pStyle w:val="ListParagraph"/>
        <w:numPr>
          <w:ilvl w:val="0"/>
          <w:numId w:val="17"/>
        </w:numPr>
        <w:spacing w:after="80" w:line="276"/>
      </w:pPr>
      <w:r>
        <w:rPr>
          <w:rFonts w:ascii="Arial" w:cs="Arial" w:eastAsia="Arial" w:hAnsi="Arial"/>
          <w:sz w:val="22"/>
          <w:szCs w:val="22"/>
        </w:rPr>
        <w:t xml:space="preserve">Indigenous production: proliferators may pursue domestic dual-use component manufacturing, constrained by capability gaps.</w:t>
      </w:r>
    </w:p>
    <w:p>
      <w:pPr>
        <w:pStyle w:val="Heading1"/>
        <w:spacing w:after="200" w:before="360"/>
      </w:pPr>
      <w:r>
        <w:rPr>
          <w:rFonts w:ascii="Arial" w:cs="Arial" w:eastAsia="Arial" w:hAnsi="Arial"/>
          <w:b/>
          <w:bCs/>
          <w:color w:val="1B2A4A"/>
          <w:sz w:val="30"/>
          <w:szCs w:val="30"/>
        </w:rPr>
        <w:t xml:space="preserve">14.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Best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Base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Worst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WMD procurement degradation (36 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50–70%: Full multi-instrument + secondary sanctions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30–50%: Partial compliance, moderate adaptation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15–25%: Active PRC counter-enforcement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Iran oil export reduction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40–60%: Full registry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20–40%: Partial compliance, flag cycling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&lt;15%: Alternative mechanisms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Crypto-CPF reduction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&gt;60%: Full enforcement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30–50%: Partial coverage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&lt;20%: Protocol migration</w:t>
            </w:r>
          </w:p>
        </w:tc>
      </w:tr>
    </w:tbl>
    <w:p>
      <w:pPr>
        <w:spacing w:after="200" w:before="60"/>
      </w:pPr>
      <w:r>
        <w:rPr>
          <w:rFonts w:ascii="Arial" w:cs="Arial" w:eastAsia="Arial" w:hAnsi="Arial"/>
          <w:i/>
          <w:iCs/>
          <w:color w:val="4A5568"/>
          <w:sz w:val="18"/>
          <w:szCs w:val="18"/>
        </w:rPr>
        <w:t xml:space="preserve">Table 2: Sensitivity Analysis. Scenario-based extrapolations, not predictive model outputs.</w:t>
      </w:r>
    </w:p>
    <w:p>
      <w:pPr>
        <w:pStyle w:val="Heading1"/>
        <w:spacing w:after="200" w:before="360"/>
      </w:pPr>
      <w:r>
        <w:rPr>
          <w:rFonts w:ascii="Arial" w:cs="Arial" w:eastAsia="Arial" w:hAnsi="Arial"/>
          <w:b/>
          <w:bCs/>
          <w:color w:val="1B2A4A"/>
          <w:sz w:val="30"/>
          <w:szCs w:val="30"/>
        </w:rPr>
        <w:t xml:space="preserve">15. Effectiveness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 (Base Case)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Whistleblower tips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&gt;50% increase within 1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SAR volume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&gt;30% within 180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Revenue degradation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30–60% within 2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Humanitarian approval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&gt;95% within 30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Export diversion reduction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 Entity List evasion reduction within 18 months</w:t>
            </w:r>
          </w:p>
        </w:tc>
      </w:tr>
    </w:tbl>
    <w:p>
      <w:pPr>
        <w:spacing w:after="200" w:before="60"/>
      </w:pPr>
      <w:r>
        <w:rPr>
          <w:rFonts w:ascii="Arial" w:cs="Arial" w:eastAsia="Arial" w:hAnsi="Arial"/>
          <w:i/>
          <w:iCs/>
          <w:color w:val="4A5568"/>
          <w:sz w:val="18"/>
          <w:szCs w:val="18"/>
        </w:rPr>
        <w:t xml:space="preserve">Table 3: Effectiveness Metrics.</w:t>
      </w:r>
    </w:p>
    <w:p>
      <w:pPr>
        <w:pStyle w:val="Heading1"/>
        <w:spacing w:after="200" w:before="360"/>
      </w:pPr>
      <w:r>
        <w:rPr>
          <w:rFonts w:ascii="Arial" w:cs="Arial" w:eastAsia="Arial" w:hAnsi="Arial"/>
          <w:b/>
          <w:bCs/>
          <w:color w:val="1B2A4A"/>
          <w:sz w:val="30"/>
          <w:szCs w:val="30"/>
        </w:rPr>
        <w:t xml:space="preserve">16. Implementation Costs</w:t>
      </w:r>
    </w:p>
    <w:p>
      <w:pPr>
        <w:pStyle w:val="ListParagraph"/>
        <w:numPr>
          <w:ilvl w:val="0"/>
          <w:numId w:val="18"/>
        </w:numPr>
        <w:spacing w:after="80" w:line="276"/>
      </w:pPr>
      <w:r>
        <w:rPr>
          <w:rFonts w:ascii="Arial" w:cs="Arial" w:eastAsia="Arial" w:hAnsi="Arial"/>
          <w:sz w:val="22"/>
          <w:szCs w:val="22"/>
        </w:rPr>
        <w:t xml:space="preserve">FinCEN: $1.5–$2.5M annually [Tier 2]</w:t>
      </w:r>
    </w:p>
    <w:p>
      <w:pPr>
        <w:pStyle w:val="ListParagraph"/>
        <w:numPr>
          <w:ilvl w:val="0"/>
          <w:numId w:val="18"/>
        </w:numPr>
        <w:spacing w:after="80" w:line="276"/>
      </w:pPr>
      <w:r>
        <w:rPr>
          <w:rFonts w:ascii="Arial" w:cs="Arial" w:eastAsia="Arial" w:hAnsi="Arial"/>
          <w:sz w:val="22"/>
          <w:szCs w:val="22"/>
        </w:rPr>
        <w:t xml:space="preserve">OFAC: $1–$1.5M annually</w:t>
      </w:r>
    </w:p>
    <w:p>
      <w:pPr>
        <w:pStyle w:val="ListParagraph"/>
        <w:numPr>
          <w:ilvl w:val="0"/>
          <w:numId w:val="18"/>
        </w:numPr>
        <w:spacing w:after="80" w:line="276"/>
      </w:pPr>
      <w:r>
        <w:rPr>
          <w:rFonts w:ascii="Arial" w:cs="Arial" w:eastAsia="Arial" w:hAnsi="Arial"/>
          <w:sz w:val="22"/>
          <w:szCs w:val="22"/>
        </w:rPr>
        <w:t xml:space="preserve">BIS: $800K–$1.2M annually</w:t>
      </w:r>
    </w:p>
    <w:p>
      <w:pPr>
        <w:pStyle w:val="ListParagraph"/>
        <w:numPr>
          <w:ilvl w:val="0"/>
          <w:numId w:val="18"/>
        </w:numPr>
        <w:spacing w:after="80" w:line="276"/>
      </w:pPr>
      <w:r>
        <w:rPr>
          <w:rFonts w:ascii="Arial" w:cs="Arial" w:eastAsia="Arial" w:hAnsi="Arial"/>
          <w:sz w:val="22"/>
          <w:szCs w:val="22"/>
        </w:rPr>
        <w:t xml:space="preserve">DOJ/AFMLS: $800K–$1.2M annually</w:t>
      </w:r>
    </w:p>
    <w:p>
      <w:pPr>
        <w:pStyle w:val="ListParagraph"/>
        <w:numPr>
          <w:ilvl w:val="0"/>
          <w:numId w:val="18"/>
        </w:numPr>
        <w:spacing w:after="80" w:line="276"/>
      </w:pPr>
      <w:r>
        <w:rPr>
          <w:rFonts w:ascii="Arial" w:cs="Arial" w:eastAsia="Arial" w:hAnsi="Arial"/>
          <w:sz w:val="22"/>
          <w:szCs w:val="22"/>
        </w:rPr>
        <w:t xml:space="preserve">Blockchain analytics: $2M one-time + $500K annual</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COST ESTIMATE SCOPE: </w:t>
      </w:r>
      <w:r>
        <w:rPr>
          <w:rFonts w:ascii="Arial" w:cs="Arial" w:eastAsia="Arial" w:hAnsi="Arial"/>
          <w:sz w:val="20"/>
          <w:szCs w:val="20"/>
        </w:rPr>
        <w:t xml:space="preserve">Estimates reflect direct staffing costs (GS-13/14 equivalents) only. Full program costs including overhead, interagency coordination infrastructure, litigation support, contractor services, and classified system access are not estimated and would be substantially higher. These figures are illustrative for scoping purposes, not suitable for budget justification.</w:t>
      </w:r>
    </w:p>
    <w:p>
      <w:pPr>
        <w:spacing w:after="120" w:line="276"/>
      </w:pPr>
      <w:r>
        <w:rPr>
          <w:rFonts w:ascii="Arial" w:cs="Arial" w:eastAsia="Arial" w:hAnsi="Arial"/>
          <w:sz w:val="22"/>
          <w:szCs w:val="22"/>
        </w:rPr>
        <w:t xml:space="preserve">Forfeiture returns substantially exceed administrative costs [Tier 1].</w:t>
      </w:r>
    </w:p>
    <w:p>
      <w:pPr>
        <w:pStyle w:val="Heading1"/>
        <w:spacing w:after="200" w:before="360"/>
      </w:pPr>
      <w:r>
        <w:rPr>
          <w:rFonts w:ascii="Arial" w:cs="Arial" w:eastAsia="Arial" w:hAnsi="Arial"/>
          <w:b/>
          <w:bCs/>
          <w:color w:val="1B2A4A"/>
          <w:sz w:val="30"/>
          <w:szCs w:val="30"/>
        </w:rPr>
        <w:t xml:space="preserve">17. Scope Limitations and Explicit Non-Claims</w:t>
      </w:r>
    </w:p>
    <w:p>
      <w:pPr>
        <w:numPr>
          <w:ilvl w:val="0"/>
          <w:numId w:val="1"/>
        </w:numPr>
        <w:spacing w:after="80" w:line="276"/>
      </w:pPr>
      <w:r>
        <w:rPr>
          <w:rFonts w:ascii="Arial" w:cs="Arial" w:eastAsia="Arial" w:hAnsi="Arial"/>
          <w:sz w:val="22"/>
          <w:szCs w:val="22"/>
        </w:rPr>
        <w:t xml:space="preserve">No classified sources or non-public government information used.</w:t>
      </w:r>
    </w:p>
    <w:p>
      <w:pPr>
        <w:numPr>
          <w:ilvl w:val="0"/>
          <w:numId w:val="1"/>
        </w:numPr>
        <w:spacing w:after="80" w:line="276"/>
      </w:pPr>
      <w:r>
        <w:rPr>
          <w:rFonts w:ascii="Arial" w:cs="Arial" w:eastAsia="Arial" w:hAnsi="Arial"/>
          <w:sz w:val="22"/>
          <w:szCs w:val="22"/>
        </w:rPr>
        <w:t xml:space="preserve">No access to actual SAR data; SAR references are to publicly reported aggregates.</w:t>
      </w:r>
    </w:p>
    <w:p>
      <w:pPr>
        <w:numPr>
          <w:ilvl w:val="0"/>
          <w:numId w:val="1"/>
        </w:numPr>
        <w:spacing w:after="80" w:line="276"/>
      </w:pPr>
      <w:r>
        <w:rPr>
          <w:rFonts w:ascii="Arial" w:cs="Arial" w:eastAsia="Arial" w:hAnsi="Arial"/>
          <w:sz w:val="22"/>
          <w:szCs w:val="22"/>
        </w:rPr>
        <w:t xml:space="preserve">Scenario-based estimates are not predictive models.</w:t>
      </w:r>
    </w:p>
    <w:p>
      <w:pPr>
        <w:numPr>
          <w:ilvl w:val="0"/>
          <w:numId w:val="1"/>
        </w:numPr>
        <w:spacing w:after="80" w:line="276"/>
      </w:pPr>
      <w:r>
        <w:rPr>
          <w:rFonts w:ascii="Arial" w:cs="Arial" w:eastAsia="Arial" w:hAnsi="Arial"/>
          <w:sz w:val="22"/>
          <w:szCs w:val="22"/>
        </w:rPr>
        <w:t xml:space="preserve">No humanitarian impact assessment conducted; proportionality analysis is identified as a record requirement but not performed.</w:t>
      </w:r>
    </w:p>
    <w:p>
      <w:pPr>
        <w:numPr>
          <w:ilvl w:val="0"/>
          <w:numId w:val="1"/>
        </w:numPr>
        <w:spacing w:after="80" w:line="276"/>
      </w:pPr>
      <w:r>
        <w:rPr>
          <w:rFonts w:ascii="Arial" w:cs="Arial" w:eastAsia="Arial" w:hAnsi="Arial"/>
          <w:sz w:val="22"/>
          <w:szCs w:val="22"/>
        </w:rPr>
        <w:t xml:space="preserve">No field-validated intelligence on Iran/DPRK procurement network topology or shadow fleet vessel ownership chains.</w:t>
      </w:r>
    </w:p>
    <w:p>
      <w:pPr>
        <w:numPr>
          <w:ilvl w:val="0"/>
          <w:numId w:val="1"/>
        </w:numPr>
        <w:spacing w:after="80" w:line="276"/>
      </w:pPr>
      <w:r>
        <w:rPr>
          <w:rFonts w:ascii="Arial" w:cs="Arial" w:eastAsia="Arial" w:hAnsi="Arial"/>
          <w:sz w:val="22"/>
          <w:szCs w:val="22"/>
        </w:rPr>
        <w:t xml:space="preserve">Cost estimates are illustrative staffing-only figures, not program-level budget estimates.</w:t>
      </w:r>
    </w:p>
    <w:p>
      <w:pPr>
        <w:numPr>
          <w:ilvl w:val="0"/>
          <w:numId w:val="1"/>
        </w:numPr>
        <w:spacing w:after="80" w:line="276"/>
      </w:pPr>
      <w:r>
        <w:rPr>
          <w:rFonts w:ascii="Arial" w:cs="Arial" w:eastAsia="Arial" w:hAnsi="Arial"/>
          <w:sz w:val="22"/>
          <w:szCs w:val="22"/>
        </w:rPr>
        <w:t xml:space="preserve">Effectiveness metrics are proposed targets, not empirically derived benchmarks.</w:t>
      </w:r>
    </w:p>
    <w:p>
      <w:pPr>
        <w:numPr>
          <w:ilvl w:val="0"/>
          <w:numId w:val="1"/>
        </w:numPr>
        <w:spacing w:after="80" w:line="276"/>
      </w:pPr>
      <w:r>
        <w:rPr>
          <w:rFonts w:ascii="Arial" w:cs="Arial" w:eastAsia="Arial" w:hAnsi="Arial"/>
          <w:sz w:val="22"/>
          <w:szCs w:val="22"/>
        </w:rPr>
        <w:t xml:space="preserve">Registry-level maritime designation and secondary sanctions escalation involve significant diplomatic equities not quantified in this analysis.</w:t>
      </w:r>
    </w:p>
    <w:p>
      <w:pPr>
        <w:numPr>
          <w:ilvl w:val="0"/>
          <w:numId w:val="1"/>
        </w:numPr>
        <w:spacing w:after="80" w:line="276"/>
      </w:pPr>
      <w:r>
        <w:rPr>
          <w:rFonts w:ascii="Arial" w:cs="Arial" w:eastAsia="Arial" w:hAnsi="Arial"/>
          <w:sz w:val="22"/>
          <w:szCs w:val="22"/>
        </w:rPr>
        <w:t xml:space="preserve">This document does not constitute legal advice, an enforcement recommendation, or the views of any government entity.</w:t>
      </w:r>
    </w:p>
    <w:p>
      <w:pPr>
        <w:numPr>
          <w:ilvl w:val="0"/>
          <w:numId w:val="1"/>
        </w:numPr>
        <w:spacing w:after="80" w:line="276"/>
      </w:pPr>
      <w:r>
        <w:rPr>
          <w:rFonts w:ascii="Arial" w:cs="Arial" w:eastAsia="Arial" w:hAnsi="Arial"/>
          <w:sz w:val="22"/>
          <w:szCs w:val="22"/>
        </w:rPr>
        <w:t xml:space="preserve">Individual enforcement actions require case-specific record development, interagency consultation, and executive authorization.</w:t>
      </w:r>
    </w:p>
    <w:p>
      <w:pPr>
        <w:pStyle w:val="Heading1"/>
        <w:spacing w:after="200" w:before="360"/>
      </w:pPr>
      <w:r>
        <w:rPr>
          <w:rFonts w:ascii="Arial" w:cs="Arial" w:eastAsia="Arial" w:hAnsi="Arial"/>
          <w:b/>
          <w:bCs/>
          <w:color w:val="1B2A4A"/>
          <w:sz w:val="30"/>
          <w:szCs w:val="30"/>
        </w:rPr>
        <w:t xml:space="preserve">18. Conclusion</w:t>
      </w:r>
    </w:p>
    <w:p>
      <w:pPr>
        <w:spacing w:after="120" w:line="276"/>
      </w:pPr>
      <w:r>
        <w:rPr>
          <w:rFonts w:ascii="Arial" w:cs="Arial" w:eastAsia="Arial" w:hAnsi="Arial"/>
          <w:sz w:val="22"/>
          <w:szCs w:val="22"/>
        </w:rPr>
        <w:t xml:space="preserve">This framework identifies legally supportable enforcement actions, the threshold showings required for each, the evidentiary basis presently available, and the principal litigation risks for counter-proliferation financing enforcement. The paper’s contributions—maritime de-flagging, CAATSA/CISADA/NKSPEA integration, and crypto CPF enforcement—each involve significant diplomatic equities and untested legal theories that require interagency legal-policy review before designation development.</w:t>
      </w:r>
    </w:p>
    <w:p>
      <w:pPr>
        <w:spacing w:after="120" w:line="276"/>
      </w:pPr>
      <w:r>
        <w:rPr>
          <w:rFonts w:ascii="Arial" w:cs="Arial" w:eastAsia="Arial" w:hAnsi="Arial"/>
          <w:sz w:val="22"/>
          <w:szCs w:val="22"/>
        </w:rPr>
        <w:t xml:space="preserve">This paper does not recommend specific enforcement actions. Individual actions require case-specific record development, interagency legal consultation, humanitarian impact screening, and executive authorization at appropriate decision thresholds.</w:t>
      </w:r>
    </w:p>
    <w:p>
      <w:pPr>
        <w:spacing w:after="120" w:line="276"/>
      </w:pPr>
      <w:r>
        <w:rPr>
          <w:rFonts w:ascii="Arial" w:cs="Arial" w:eastAsia="Arial" w:hAnsi="Arial"/>
          <w:sz w:val="22"/>
          <w:szCs w:val="22"/>
        </w:rPr>
        <w:t xml:space="preserve"/>
      </w:r>
    </w:p>
    <w:p>
      <w:pPr>
        <w:spacing w:after="120" w:line="276"/>
        <w:jc w:val="center"/>
        <w:rPr>
          <w:b/>
          <w:bCs/>
          <w:color w:val="1B2A4A"/>
          <w:sz w:val="20"/>
          <w:szCs w:val="20"/>
        </w:rPr>
      </w:pPr>
      <w:r>
        <w:rPr>
          <w:rFonts w:ascii="Arial" w:cs="Arial" w:eastAsia="Arial" w:hAnsi="Arial"/>
          <w:b/>
          <w:bCs/>
          <w:color w:val="1B2A4A"/>
          <w:sz w:val="20"/>
          <w:szCs w:val="20"/>
        </w:rPr>
        <w:t xml:space="preserve">END OF DOCUMENT — WP-2026-CPF-02 — APRIL 2026 — UNCLASSIFIED // OPEN SOURCE</w:t>
      </w:r>
    </w:p>
    <w:p>
      <w:pPr>
        <w:pStyle w:val="Heading1"/>
        <w:spacing w:after="200" w:before="360"/>
      </w:pPr>
      <w:r>
        <w:rPr>
          <w:rFonts w:ascii="Arial" w:cs="Arial" w:eastAsia="Arial" w:hAnsi="Arial"/>
          <w:b/>
          <w:bCs/>
          <w:color w:val="1B2A4A"/>
          <w:sz w:val="30"/>
          <w:szCs w:val="30"/>
        </w:rPr>
        <w:t xml:space="preserve">19. Series Position and Cross-References</w:t>
      </w:r>
    </w:p>
    <w:p>
      <w:pPr>
        <w:spacing w:after="120" w:line="276"/>
      </w:pPr>
      <w:r>
        <w:rPr>
          <w:rFonts w:ascii="Arial" w:cs="Arial" w:eastAsia="Arial" w:hAnsi="Arial"/>
          <w:b/>
          <w:bCs/>
          <w:sz w:val="22"/>
          <w:szCs w:val="22"/>
        </w:rPr>
        <w:t xml:space="preserve">Series designation: </w:t>
      </w:r>
      <w:r>
        <w:rPr>
          <w:rFonts w:ascii="Arial" w:cs="Arial" w:eastAsia="Arial" w:hAnsi="Arial"/>
          <w:sz w:val="22"/>
          <w:szCs w:val="22"/>
        </w:rPr>
        <w:t xml:space="preserve">WP-2026-CPF-02</w:t>
      </w:r>
    </w:p>
    <w:p>
      <w:pPr>
        <w:spacing w:after="120" w:line="276"/>
      </w:pPr>
      <w:r>
        <w:rPr>
          <w:rFonts w:ascii="Arial" w:cs="Arial" w:eastAsia="Arial" w:hAnsi="Arial"/>
          <w:b/>
          <w:bCs/>
          <w:sz w:val="22"/>
          <w:szCs w:val="22"/>
        </w:rPr>
        <w:t xml:space="preserve">Series position: </w:t>
      </w:r>
      <w:r>
        <w:rPr>
          <w:rFonts w:ascii="Arial" w:cs="Arial" w:eastAsia="Arial" w:hAnsi="Arial"/>
          <w:sz w:val="22"/>
          <w:szCs w:val="22"/>
        </w:rPr>
        <w:t xml:space="preserve">04-applied-enforcement/</w:t>
      </w:r>
    </w:p>
    <w:p>
      <w:pPr>
        <w:spacing w:after="120" w:line="276"/>
      </w:pPr>
      <w:r>
        <w:rPr>
          <w:rFonts w:ascii="Arial" w:cs="Arial" w:eastAsia="Arial" w:hAnsi="Arial"/>
          <w:b/>
          <w:bCs/>
          <w:sz w:val="22"/>
          <w:szCs w:val="22"/>
        </w:rPr>
        <w:t xml:space="preserve">Upstream: </w:t>
      </w:r>
      <w:r>
        <w:rPr>
          <w:rFonts w:ascii="Arial" w:cs="Arial" w:eastAsia="Arial" w:hAnsi="Arial"/>
          <w:sz w:val="22"/>
          <w:szCs w:val="22"/>
        </w:rPr>
        <w:t xml:space="preserve">SIEGE-01, PERSIST-01 (E.O. 13382 rail), NEXUS-01</w:t>
      </w:r>
    </w:p>
    <w:p>
      <w:pPr>
        <w:spacing w:after="120" w:line="276"/>
      </w:pPr>
      <w:r>
        <w:rPr>
          <w:rFonts w:ascii="Arial" w:cs="Arial" w:eastAsia="Arial" w:hAnsi="Arial"/>
          <w:b/>
          <w:bCs/>
          <w:sz w:val="22"/>
          <w:szCs w:val="22"/>
        </w:rPr>
        <w:t xml:space="preserve">Downstream: </w:t>
      </w:r>
      <w:r>
        <w:rPr>
          <w:rFonts w:ascii="Arial" w:cs="Arial" w:eastAsia="Arial" w:hAnsi="Arial"/>
          <w:sz w:val="22"/>
          <w:szCs w:val="22"/>
        </w:rPr>
        <w:t xml:space="preserve">SENI-01, Iran Nuclear/WMD Assessments (06-threat-analysis), AXIS-01</w:t>
      </w:r>
    </w:p>
    <w:p>
      <w:pPr>
        <w:spacing w:after="120" w:line="276"/>
      </w:pPr>
      <w:r>
        <w:rPr>
          <w:rFonts w:ascii="Arial" w:cs="Arial" w:eastAsia="Arial" w:hAnsi="Arial"/>
          <w:b/>
          <w:bCs/>
          <w:sz w:val="22"/>
          <w:szCs w:val="22"/>
        </w:rPr>
        <w:t xml:space="preserve">Companion: </w:t>
      </w:r>
      <w:r>
        <w:rPr>
          <w:rFonts w:ascii="Arial" w:cs="Arial" w:eastAsia="Arial" w:hAnsi="Arial"/>
          <w:sz w:val="22"/>
          <w:szCs w:val="22"/>
        </w:rPr>
        <w:t xml:space="preserve">CTF-01 (E.O. 13224), ARCH-03 (FTO overlay)</w:t>
      </w:r>
    </w:p>
    <w:p>
      <w:pPr>
        <w:spacing w:after="120" w:line="276"/>
      </w:pPr>
      <w:r>
        <w:rPr>
          <w:rFonts w:ascii="Arial" w:cs="Arial" w:eastAsia="Arial" w:hAnsi="Arial"/>
          <w:b/>
          <w:bCs/>
          <w:sz w:val="22"/>
          <w:szCs w:val="22"/>
        </w:rPr>
        <w:t xml:space="preserve">Cross-references: </w:t>
      </w:r>
      <w:r>
        <w:rPr>
          <w:rFonts w:ascii="Arial" w:cs="Arial" w:eastAsia="Arial" w:hAnsi="Arial"/>
          <w:sz w:val="22"/>
          <w:szCs w:val="22"/>
        </w:rPr>
        <w:t xml:space="preserve">RESILIENCE-01 (semiconductor chokepoints), ESCALATE-01 (institutional throughput). All WP-2026 series documents are publicly available at github.com/collingeorge/WP-2026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WP-2026-CPF-02  •  April 2026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pPr>
    <w:r>
      <w:rPr>
        <w:rFonts w:ascii="Arial" w:cs="Arial" w:eastAsia="Arial" w:hAnsi="Arial"/>
        <w:caps/>
        <w:color w:val="4A5568"/>
        <w:sz w:val="16"/>
        <w:szCs w:val="16"/>
      </w:rPr>
      <w:t xml:space="preserve">WP-2026-CPF-02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20"/>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2026-04-06T02:53:44.341Z</dcterms:created>
  <dcterms:modified xsi:type="dcterms:W3CDTF">2026-04-06T02:53:44.342Z</dcterms:modified>
</cp:coreProperties>
</file>

<file path=docProps/custom.xml><?xml version="1.0" encoding="utf-8"?>
<Properties xmlns="http://schemas.openxmlformats.org/officeDocument/2006/custom-properties" xmlns:vt="http://schemas.openxmlformats.org/officeDocument/2006/docPropsVTypes"/>
</file>