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before="0" w:line="276"/>
      </w:pPr>
      <w:r>
        <w:rPr>
          <w:rFonts w:ascii="Arial" w:cs="Arial" w:eastAsia="Arial" w:hAnsi="Arial"/>
          <w:b/>
          <w:bCs/>
          <w:color w:val="8B6914"/>
          <w:sz w:val="20"/>
          <w:szCs w:val="20"/>
        </w:rPr>
        <w:t>WP-2026-CTF-01  |  v4.0 FINAL</w:t>
      </w:r>
    </w:p>
    <w:p>
      <w:pPr>
        <w:pBdr>
          <w:bottom w:val="single" w:color="1B2A4A" w:sz="6" w:space="8"/>
        </w:pBdr>
        <w:spacing w:after="80"/>
      </w:pPr>
      <w:r>
        <w:rPr>
          <w:rFonts w:ascii="Arial" w:cs="Arial" w:eastAsia="Arial" w:hAnsi="Arial"/>
          <w:b/>
          <w:bCs/>
          <w:color w:val="1B2A4A"/>
          <w:sz w:val="40"/>
          <w:szCs w:val="40"/>
        </w:rPr>
        <w:t xml:space="preserve">Counter-Terrorism Financing Enforcement Architecture</w:t>
      </w:r>
    </w:p>
    <w:p>
      <w:pPr>
        <w:spacing w:after="400" w:before="0" w:line="276"/>
      </w:pPr>
      <w:r>
        <w:rPr>
          <w:rFonts w:ascii="Arial" w:cs="Arial" w:eastAsia="Arial" w:hAnsi="Arial"/>
          <w:color w:val="1B2A4A"/>
          <w:sz w:val="26"/>
          <w:szCs w:val="26"/>
        </w:rPr>
        <w:t xml:space="preserve">Section 311, Asset Blocking, and Whistleblower Mechanisms for Systematic Network Disruption</w:t>
      </w:r>
    </w:p>
    <w:p>
      <w:pPr>
        <w:spacing w:after="100" w:before="0" w:line="276"/>
      </w:pPr>
      <w:r>
        <w:rPr>
          <w:rFonts w:ascii="Arial" w:cs="Arial" w:eastAsia="Arial" w:hAnsi="Arial"/>
          <w:b/>
          <w:bCs/>
          <w:color w:val="1B2A4A"/>
          <w:sz w:val="22"/>
          <w:szCs w:val="22"/>
        </w:rPr>
        <w:t xml:space="preserve">Collin George</w:t>
      </w:r>
    </w:p>
    <w:p>
      <w:pPr>
        <w:spacing w:after="100" w:before="0" w:line="276"/>
      </w:pPr>
      <w:r>
        <w:rPr>
          <w:rFonts w:ascii="Arial" w:cs="Arial" w:eastAsia="Arial" w:hAnsi="Arial"/>
          <w:color w:val="666666"/>
          <w:sz w:val="20"/>
          <w:szCs w:val="20"/>
        </w:rPr>
        <w:t>Center for Competitive Statecraft &amp; Strategic Policy  |  collinbgeorge.com</w:t>
      </w:r>
    </w:p>
    <w:p>
      <w:pPr>
        <w:spacing w:after="600" w:before="0" w:line="276"/>
      </w:pPr>
      <w:r>
        <w:rPr>
          <w:rFonts w:ascii="Arial" w:cs="Arial" w:eastAsia="Arial" w:hAnsi="Arial"/>
          <w:color w:val="666666"/>
          <w:sz w:val="20"/>
          <w:szCs w:val="20"/>
        </w:rPr>
        <w:t xml:space="preserve">April 2026</w:t>
      </w:r>
    </w:p>
    <w:p>
      <w:pPr>
        <w:spacing w:after="200" w:before="0" w:line="276"/>
      </w:pPr>
      <w:r>
        <w:rPr>
          <w:rFonts w:ascii="Arial" w:cs="Arial" w:eastAsia="Arial" w:hAnsi="Arial"/>
          <w:b/>
          <w:bCs/>
          <w:color w:val="8B6914"/>
          <w:sz w:val="18"/>
          <w:szCs w:val="18"/>
        </w:rPr>
        <w:t xml:space="preserve">UNCLASSIFIED // OPEN SOURCE // INDEPENDENT POLICY RESEARCH</w:t>
      </w:r>
    </w:p>
    <w:p>
      <w:r>
        <w:br w:type="page"/>
      </w:r>
    </w:p>
    <w:p>
      <w:pPr>
        <w:pStyle w:val="Heading1"/>
        <w:spacing w:after="200" w:before="360"/>
      </w:pPr>
      <w:r>
        <w:rPr>
          <w:rFonts w:ascii="Arial" w:cs="Arial" w:eastAsia="Arial" w:hAnsi="Arial"/>
          <w:b/>
          <w:bCs/>
          <w:color w:val="1B2A4A"/>
          <w:sz w:val="30"/>
          <w:szCs w:val="30"/>
        </w:rPr>
        <w:t xml:space="preserve">Abstract</w:t>
      </w:r>
    </w:p>
    <w:p>
      <w:pPr>
        <w:spacing w:after="120" w:line="276"/>
      </w:pPr>
      <w:r>
        <w:rPr>
          <w:rFonts w:ascii="Arial" w:cs="Arial" w:eastAsia="Arial" w:hAnsi="Arial"/>
          <w:sz w:val="22"/>
          <w:szCs w:val="22"/>
          <w:color w:val="000000"/>
        </w:rPr>
        <w:t xml:space="preserve">This paper analyzes the legal basis, evidentiary requirements, procedural paths, and principal litigation risks for a counter-terrorism financing enforcement framework targeting state-sponsored facilitators (Iran-backed Hizballah, Hamas, Houthi proxies), non-state actors (ISIS, al-Qa’ida affiliates), and financial enablers (hawala operators, cryptocurrency platforms, shell companies). The framework coordinates 31 U.S.C. § 5318A (Section 311), E.O. 13224 (SDGT), 31 U.S.C. § 5323 (whistleblower incentives), and 18 U.S.C. § 981(k) (asset substitution). The novel contribution is the proposed application of § 5318A(a)(4)(A) to classes of transactions—specifically hawala transfers in high-risk corridors—rather than individual institutions. This application is assessed as legally plausible but has no direct precedent; durability under judicial review remains uncertain. Key limitations: reliance on publicly available data only; scenario-based estimates, not predictive models; no humanitarian impact assessment performed.</w:t>
      </w:r>
    </w:p>
    <w:p>
      <w:pPr>
        <w:pStyle w:val="Heading1"/>
        <w:spacing w:after="200" w:before="360"/>
      </w:pPr>
      <w:r>
        <w:rPr>
          <w:rFonts w:ascii="Arial" w:cs="Arial" w:eastAsia="Arial" w:hAnsi="Arial"/>
          <w:b/>
          <w:bCs/>
          <w:color w:val="1B2A4A"/>
          <w:sz w:val="30"/>
          <w:szCs w:val="30"/>
        </w:rPr>
        <w:t xml:space="preserve">1. Executive Summary</w:t>
      </w:r>
    </w:p>
    <w:p>
      <w:pPr>
        <w:spacing w:after="120" w:line="276"/>
      </w:pPr>
      <w:r>
        <w:rPr>
          <w:rFonts w:ascii="Arial" w:cs="Arial" w:eastAsia="Arial" w:hAnsi="Arial"/>
          <w:sz w:val="22"/>
          <w:szCs w:val="22"/>
        </w:rPr>
        <w:t xml:space="preserve">This paper analyzes the legal basis, evidentiary requirements, procedural paths, and principal litigation risks for a maximum pressure enforcement framework targeting terrorist financing (TF) networks, including state-sponsored facilitators (Iran-backed Hizballah, Hamas, and Houthi proxies), non-state actors (ISIS and al-Qa’ida affiliates), and financial enablers (hawala operators, cryptocurrency platforms, shell companies), consistent with NSPM-2 (February 4, 2025) directives.</w:t>
      </w:r>
    </w:p>
    <w:p>
      <w:pPr>
        <w:spacing w:after="120" w:line="276"/>
      </w:pPr>
      <w:r>
        <w:rPr>
          <w:rFonts w:ascii="Arial" w:cs="Arial" w:eastAsia="Arial" w:hAnsi="Arial"/>
          <w:sz w:val="22"/>
          <w:szCs w:val="22"/>
        </w:rPr>
        <w:t xml:space="preserve">The framework coordinates four statutory authorities: 31 U.S.C. § 5318A (Section 311 PMLC designation), E.O. 13224 (SDGT asset blocking), 31 U.S.C. § 5323 (whistleblower incentives), and notice letter procedures. Each mechanism is presented in six-part format: (1) authority; (2) threshold showing; (3) procedural path; (4) evidentiary basis; (5) principal legal risks; (6) operational effect.</w:t>
      </w:r>
    </w:p>
    <w:p>
      <w:pPr>
        <w:spacing w:after="120" w:line="276"/>
      </w:pPr>
      <w:r>
        <w:rPr>
          <w:rFonts w:ascii="Arial" w:cs="Arial" w:eastAsia="Arial" w:hAnsi="Arial"/>
          <w:sz w:val="22"/>
          <w:szCs w:val="22"/>
        </w:rPr>
        <w:t xml:space="preserve">The analytically novel contribution is the proposed application of § 5318A(a)(4)(A) to classes of transactions—specifically hawala transfers in high-risk corridors—rather than individual institutions. This application is assessed as legally plausible based on statutory text but has no direct precedent; durability under judicial review remains uncertain.</w:t>
      </w:r>
    </w:p>
    <w:p>
      <w:pPr>
        <w:pStyle w:val="Heading1"/>
        <w:spacing w:after="200" w:before="360"/>
      </w:pPr>
      <w:r>
        <w:rPr>
          <w:rFonts w:ascii="Arial" w:cs="Arial" w:eastAsia="Arial" w:hAnsi="Arial"/>
          <w:b/>
          <w:bCs/>
          <w:color w:val="1B2A4A"/>
          <w:sz w:val="30"/>
          <w:szCs w:val="30"/>
        </w:rPr>
        <w:t xml:space="preserve">2. Key Judgments</w:t>
      </w:r>
    </w:p>
    <w:p>
      <w:pPr>
        <w:spacing w:after="12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none"/>
              <w:left w:val="single" w:color="1B2A4A" w:sz="12"/>
              <w:bottom w:val="none"/>
              <w:right w:val="none"/>
            </w:tcBorders>
            <w:shd w:fill="E8EDF5" w:val="clear"/>
            <w:tcMar>
              <w:top w:type="dxa" w:w="120"/>
              <w:left w:type="dxa" w:w="200"/>
              <w:bottom w:type="dxa" w:w="120"/>
              <w:right w:type="dxa" w:w="200"/>
            </w:tcMar>
          </w:tcPr>
          <w:p>
            <w:pPr>
              <w:spacing w:after="80"/>
            </w:pPr>
            <w:r>
              <w:rPr>
                <w:rFonts w:ascii="Arial" w:cs="Arial" w:eastAsia="Arial" w:hAnsi="Arial"/>
                <w:b/>
                <w:bCs/>
                <w:color w:val="8B6914"/>
                <w:sz w:val="18"/>
                <w:szCs w:val="18"/>
              </w:rPr>
              <w:t xml:space="preserve">MODERATE-HIGH CONFIDENCE  ·  Very Likely</w:t>
            </w:r>
          </w:p>
          <w:p>
            <w:pPr>
              <w:spacing w:after="80" w:line="276"/>
            </w:pPr>
            <w:r>
              <w:rPr>
                <w:rFonts w:ascii="Arial" w:cs="Arial" w:eastAsia="Arial" w:hAnsi="Arial"/>
                <w:sz w:val="20"/>
                <w:szCs w:val="20"/>
              </w:rPr>
              <w:t xml:space="preserve">The application of § 5318A(a)(4)(A) to transaction classes rather than individual institutions is assessed as legally plausible based on statutory plain language, and could enable systemic disruption of hawala payment rails in high-risk corridors without requiring individualized operator designation. Durability under judicial review remains uncertain absent precedent.</w:t>
            </w:r>
          </w:p>
          <w:p>
            <w:pPr>
              <w:spacing w:after="0"/>
            </w:pPr>
            <w:r>
              <w:rPr>
                <w:rFonts w:ascii="Arial" w:cs="Arial" w:eastAsia="Arial" w:hAnsi="Arial"/>
                <w:i/>
                <w:iCs/>
                <w:color w:val="4A5568"/>
                <w:sz w:val="18"/>
                <w:szCs w:val="18"/>
              </w:rPr>
              <w:t xml:space="preserve">Basis: Tier 1 statutory text (31 U.S.C. § 5318A(a)(4)(A)). No analogous precedent for class-based hawala designation exists; legal plausibility is inferred from plain language. Durability under APA review is untested, constraining confidence below HIGH.</w:t>
            </w:r>
          </w:p>
          <w:p>
            <w:pPr>
              <w:spacing w:after="120" w:line="276"/>
            </w:pPr>
            <w:r>
              <w:rPr>
                <w:rFonts w:ascii="Arial" w:cs="Arial" w:eastAsia="Arial" w:hAnsi="Arial"/>
                <w:sz w:val="18"/>
                <w:szCs w:val="18"/>
                <w:color w:val="4A5568"/>
                <w:i/>
                <w:iCs/>
              </w:rPr>
              <w:t xml:space="preserve">Tier Key: Tier 1 = Primary government source, official reporting, or enacted statutory authority. Tier 2 = Analytically inferred from corroborated reporting, private-sector data, or scenario-based assessment.</w:t>
            </w:r>
          </w:p>
        </w:tc>
      </w:tr>
    </w:tbl>
    <w:p>
      <w:pPr>
        <w:spacing w:after="12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8760"/>
            <w:tcBorders>
              <w:top w:val="none"/>
              <w:left w:val="single" w:color="1B2A4A" w:sz="12"/>
              <w:bottom w:val="none"/>
              <w:right w:val="none"/>
            </w:tcBorders>
            <w:shd w:fill="E8EDF5" w:val="clear"/>
            <w:tcMar>
              <w:top w:type="dxa" w:w="120"/>
              <w:left w:type="dxa" w:w="200"/>
              <w:bottom w:type="dxa" w:w="120"/>
              <w:right w:type="dxa" w:w="200"/>
            </w:tcMar>
          </w:tcPr>
          <w:p>
            <w:pPr>
              <w:spacing w:after="80"/>
            </w:pPr>
            <w:r>
              <w:rPr>
                <w:rFonts w:ascii="Arial" w:cs="Arial" w:eastAsia="Arial" w:hAnsi="Arial"/>
                <w:b/>
                <w:bCs/>
                <w:color w:val="8B6914"/>
                <w:sz w:val="18"/>
                <w:szCs w:val="18"/>
              </w:rPr>
              <w:t xml:space="preserve">MODERATE CONFIDENCE  ·  Likely</w:t>
            </w:r>
          </w:p>
          <w:p>
            <w:pPr>
              <w:spacing w:after="80" w:line="276"/>
            </w:pPr>
            <w:r>
              <w:rPr>
                <w:rFonts w:ascii="Arial" w:cs="Arial" w:eastAsia="Arial" w:hAnsi="Arial"/>
                <w:sz w:val="20"/>
                <w:szCs w:val="20"/>
              </w:rPr>
              <w:t xml:space="preserve">Synchronizing Section 311 correspondent denials, E.O. 13224 asset blocks, and § 5323 whistleblower incentives is assessed as likely to increase facilitator operational costs and degrade network trust relationships, assuming sufficient administrative record development for each individual action.</w:t>
            </w:r>
          </w:p>
          <w:p>
            <w:pPr>
              <w:spacing w:after="0"/>
            </w:pPr>
            <w:r>
              <w:rPr>
                <w:rFonts w:ascii="Arial" w:cs="Arial" w:eastAsia="Arial" w:hAnsi="Arial"/>
                <w:i/>
                <w:iCs/>
                <w:color w:val="4A5568"/>
                <w:sz w:val="18"/>
                <w:szCs w:val="18"/>
              </w:rPr>
              <w:t xml:space="preserve">Basis: Tier 1 OFAC enforcement precedent (Hizballah network actions 2024–2025). Tier 1 FinCEN October 2025 shadow banking analysis ($9B Iranian activity). Constrained by limited observation of multi-instrument TF network adaptation.</w:t>
            </w:r>
          </w:p>
        </w:tc>
      </w:tr>
    </w:tbl>
    <w:p>
      <w:pPr>
        <w:spacing w:after="12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8760"/>
            <w:tcBorders>
              <w:top w:val="none"/>
              <w:left w:val="single" w:color="1B2A4A" w:sz="12"/>
              <w:bottom w:val="none"/>
              <w:right w:val="none"/>
            </w:tcBorders>
            <w:shd w:fill="E8EDF5" w:val="clear"/>
            <w:tcMar>
              <w:top w:type="dxa" w:w="120"/>
              <w:left w:type="dxa" w:w="200"/>
              <w:bottom w:type="dxa" w:w="120"/>
              <w:right w:type="dxa" w:w="200"/>
            </w:tcMar>
          </w:tcPr>
          <w:p>
            <w:pPr>
              <w:spacing w:after="80"/>
            </w:pPr>
            <w:r>
              <w:rPr>
                <w:rFonts w:ascii="Arial" w:cs="Arial" w:eastAsia="Arial" w:hAnsi="Arial"/>
                <w:b/>
                <w:bCs/>
                <w:color w:val="8B6914"/>
                <w:sz w:val="18"/>
                <w:szCs w:val="18"/>
              </w:rPr>
              <w:t xml:space="preserve">LOW-MODERATE CONFIDENCE · SCENARIO-CONDITIONED  ·  Roughly Even Odds to Likely</w:t>
            </w:r>
          </w:p>
          <w:p>
            <w:pPr>
              <w:spacing w:after="80" w:line="276"/>
            </w:pPr>
            <w:r>
              <w:rPr>
                <w:rFonts w:ascii="Arial" w:cs="Arial" w:eastAsia="Arial" w:hAnsi="Arial"/>
                <w:sz w:val="20"/>
                <w:szCs w:val="20"/>
              </w:rPr>
              <w:t xml:space="preserve">Sustained enforcement over 24–36 months may degrade targeted TF revenue channels by 30–60%, contingent on enforcement persistence, adversary adaptation speed, state-sponsored bypass capacity, and the adequacy of administrative records supporting each individual action. This estimate is scenario-conditioned and not a prediction.</w:t>
            </w:r>
          </w:p>
          <w:p>
            <w:pPr>
              <w:spacing w:after="0"/>
            </w:pPr>
            <w:r>
              <w:rPr>
                <w:rFonts w:ascii="Arial" w:cs="Arial" w:eastAsia="Arial" w:hAnsi="Arial"/>
                <w:i/>
                <w:iCs/>
                <w:color w:val="4A5568"/>
                <w:sz w:val="18"/>
                <w:szCs w:val="18"/>
              </w:rPr>
              <w:t xml:space="preserve">Basis: Tier 2 analytic inference from OFAC historical yield and FinCEN SAR trends. The available reporting does not permit a firm conclusion on TF network elasticity or adaptation timelines.</w:t>
            </w:r>
          </w:p>
        </w:tc>
      </w:tr>
    </w:tbl>
    <w:p>
      <w:pPr>
        <w:spacing w:after="12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8760"/>
            <w:tcBorders>
              <w:top w:val="none"/>
              <w:left w:val="single" w:color="1B2A4A" w:sz="12"/>
              <w:bottom w:val="none"/>
              <w:right w:val="none"/>
            </w:tcBorders>
            <w:shd w:fill="E8EDF5" w:val="clear"/>
            <w:tcMar>
              <w:top w:type="dxa" w:w="120"/>
              <w:left w:type="dxa" w:w="200"/>
              <w:bottom w:type="dxa" w:w="120"/>
              <w:right w:type="dxa" w:w="200"/>
            </w:tcMar>
          </w:tcPr>
          <w:p>
            <w:pPr>
              <w:spacing w:after="80"/>
            </w:pPr>
            <w:r>
              <w:rPr>
                <w:rFonts w:ascii="Arial" w:cs="Arial" w:eastAsia="Arial" w:hAnsi="Arial"/>
                <w:b/>
                <w:bCs/>
                <w:color w:val="8B6914"/>
                <w:sz w:val="18"/>
                <w:szCs w:val="18"/>
              </w:rPr>
              <w:t xml:space="preserve">MODERATE CONFIDENCE  ·  Likely</w:t>
            </w:r>
          </w:p>
          <w:p>
            <w:pPr>
              <w:spacing w:after="80" w:line="276"/>
            </w:pPr>
            <w:r>
              <w:rPr>
                <w:rFonts w:ascii="Arial" w:cs="Arial" w:eastAsia="Arial" w:hAnsi="Arial"/>
                <w:sz w:val="20"/>
                <w:szCs w:val="20"/>
              </w:rPr>
              <w:t xml:space="preserve">Crypto-enabled TF ($127M identified in 2024 per FinCEN) is assessed as likely to increase as conventional channels are degraded, requiring concurrent enforcement under § 5318A(a)(1) against exchanges and DeFi protocols.</w:t>
            </w:r>
          </w:p>
          <w:p>
            <w:pPr>
              <w:spacing w:after="0"/>
            </w:pPr>
            <w:r>
              <w:rPr>
                <w:rFonts w:ascii="Arial" w:cs="Arial" w:eastAsia="Arial" w:hAnsi="Arial"/>
                <w:i/>
                <w:iCs/>
                <w:color w:val="4A5568"/>
                <w:sz w:val="18"/>
                <w:szCs w:val="18"/>
              </w:rPr>
              <w:t xml:space="preserve">Basis: Tier 1 FinCEN October 2025 analysis. Tier 2 Chainalysis trend data. Constrained by rapid DeFi/mixer technology evolution.</w:t>
            </w:r>
          </w:p>
        </w:tc>
      </w:tr>
    </w:tbl>
    <w:p>
      <w:pPr>
        <w:spacing w:after="120" w:line="276"/>
      </w:pPr>
      <w:r>
        <w:rPr>
          <w:rFonts w:ascii="Arial" w:cs="Arial" w:eastAsia="Arial" w:hAnsi="Arial"/>
          <w:sz w:val="22"/>
          <w:szCs w:val="22"/>
        </w:rPr>
        <w:t xml:space="preserve"/>
      </w:r>
    </w:p>
    <w:p>
      <w:pPr>
        <w:pStyle w:val="Heading1"/>
        <w:spacing w:after="200" w:before="360"/>
      </w:pPr>
      <w:r>
        <w:rPr>
          <w:rFonts w:ascii="Arial" w:cs="Arial" w:eastAsia="Arial" w:hAnsi="Arial"/>
          <w:b/>
          <w:bCs/>
          <w:color w:val="1B2A4A"/>
          <w:sz w:val="30"/>
          <w:szCs w:val="30"/>
        </w:rPr>
        <w:t xml:space="preserve">3. Analytic Distinctions</w:t>
      </w:r>
    </w:p>
    <w:p>
      <w:pPr>
        <w:pStyle w:val="Heading2"/>
        <w:spacing w:after="160" w:before="280"/>
      </w:pPr>
      <w:r>
        <w:rPr>
          <w:rFonts w:ascii="Arial" w:cs="Arial" w:eastAsia="Arial" w:hAnsi="Arial"/>
          <w:b/>
          <w:bCs/>
          <w:color w:val="1B2A4A"/>
          <w:sz w:val="24"/>
          <w:szCs w:val="24"/>
        </w:rPr>
        <w:t xml:space="preserve">3.1 Observed / Officially Reported</w:t>
      </w:r>
    </w:p>
    <w:p>
      <w:pPr>
        <w:pStyle w:val="ListParagraph"/>
        <w:numPr>
          <w:ilvl w:val="0"/>
          <w:numId w:val="2"/>
        </w:numPr>
        <w:spacing w:after="80" w:line="276"/>
      </w:pPr>
      <w:r>
        <w:rPr>
          <w:rFonts w:ascii="Arial" w:cs="Arial" w:eastAsia="Arial" w:hAnsi="Arial"/>
          <w:sz w:val="22"/>
          <w:szCs w:val="22"/>
        </w:rPr>
        <w:t xml:space="preserve">FinCEN October 2025 analysis: &gt;$9B Iranian shadow banking activity [Tier 1].</w:t>
      </w:r>
    </w:p>
    <w:p>
      <w:pPr>
        <w:pStyle w:val="ListParagraph"/>
        <w:numPr>
          <w:ilvl w:val="0"/>
          <w:numId w:val="2"/>
        </w:numPr>
        <w:spacing w:after="80" w:line="276"/>
      </w:pPr>
      <w:r>
        <w:rPr>
          <w:rFonts w:ascii="Arial" w:cs="Arial" w:eastAsia="Arial" w:hAnsi="Arial"/>
          <w:sz w:val="22"/>
          <w:szCs w:val="22"/>
        </w:rPr>
        <w:t xml:space="preserve">State Department redesignated Houthi Ansar Allah as FTO, March 5, 2025 [Tier 1].</w:t>
      </w:r>
    </w:p>
    <w:p>
      <w:pPr>
        <w:pStyle w:val="ListParagraph"/>
        <w:numPr>
          <w:ilvl w:val="0"/>
          <w:numId w:val="2"/>
        </w:numPr>
        <w:spacing w:after="80" w:line="276"/>
      </w:pPr>
      <w:r>
        <w:rPr>
          <w:rFonts w:ascii="Arial" w:cs="Arial" w:eastAsia="Arial" w:hAnsi="Arial"/>
          <w:sz w:val="22"/>
          <w:szCs w:val="22"/>
        </w:rPr>
        <w:t xml:space="preserve">FinCEN identified $127M in crypto-enabled TF in 2024 [Tier 1].</w:t>
      </w:r>
    </w:p>
    <w:p>
      <w:pPr>
        <w:pStyle w:val="ListParagraph"/>
        <w:numPr>
          <w:ilvl w:val="0"/>
          <w:numId w:val="2"/>
        </w:numPr>
        <w:spacing w:after="80" w:line="276"/>
      </w:pPr>
      <w:r>
        <w:rPr>
          <w:rFonts w:ascii="Arial" w:cs="Arial" w:eastAsia="Arial" w:hAnsi="Arial"/>
          <w:sz w:val="22"/>
          <w:szCs w:val="22"/>
        </w:rPr>
        <w:t xml:space="preserve">USVSST Fund distributed $2.8B, January 2026 (34 U.S.C. § 20144) [Tier 1].</w:t>
      </w:r>
    </w:p>
    <w:p>
      <w:pPr>
        <w:pStyle w:val="Heading2"/>
        <w:spacing w:after="160" w:before="280"/>
      </w:pPr>
      <w:r>
        <w:rPr>
          <w:rFonts w:ascii="Arial" w:cs="Arial" w:eastAsia="Arial" w:hAnsi="Arial"/>
          <w:b/>
          <w:bCs/>
          <w:color w:val="1B2A4A"/>
          <w:sz w:val="24"/>
          <w:szCs w:val="24"/>
        </w:rPr>
        <w:t xml:space="preserve">3.2 Assessment (Analytically Inferred)</w:t>
      </w:r>
    </w:p>
    <w:p>
      <w:pPr>
        <w:pStyle w:val="ListParagraph"/>
        <w:numPr>
          <w:ilvl w:val="0"/>
          <w:numId w:val="3"/>
        </w:numPr>
        <w:spacing w:after="80" w:line="276"/>
      </w:pPr>
      <w:r>
        <w:rPr>
          <w:rFonts w:ascii="Arial" w:cs="Arial" w:eastAsia="Arial" w:hAnsi="Arial"/>
          <w:sz w:val="22"/>
          <w:szCs w:val="22"/>
        </w:rPr>
        <w:t xml:space="preserve">Class-based hawala designation under § 5318A(a)(4)(A) may enable systemic payment rail disruption, subject to APA review and proportionality challenge.</w:t>
      </w:r>
    </w:p>
    <w:p>
      <w:pPr>
        <w:pStyle w:val="ListParagraph"/>
        <w:numPr>
          <w:ilvl w:val="0"/>
          <w:numId w:val="3"/>
        </w:numPr>
        <w:spacing w:after="80" w:line="276"/>
      </w:pPr>
      <w:r>
        <w:rPr>
          <w:rFonts w:ascii="Arial" w:cs="Arial" w:eastAsia="Arial" w:hAnsi="Arial"/>
          <w:sz w:val="22"/>
          <w:szCs w:val="22"/>
        </w:rPr>
        <w:t xml:space="preserve">Notice letter delivery could reduce plausible deniability defenses for exchange house operators in subsequent investigations, subject to case-specific proof of knowledge and intent.</w:t>
      </w:r>
    </w:p>
    <w:p>
      <w:pPr>
        <w:pStyle w:val="Heading2"/>
        <w:spacing w:after="160" w:before="280"/>
      </w:pPr>
      <w:r>
        <w:rPr>
          <w:rFonts w:ascii="Arial" w:cs="Arial" w:eastAsia="Arial" w:hAnsi="Arial"/>
          <w:b/>
          <w:bCs/>
          <w:color w:val="1B2A4A"/>
          <w:sz w:val="24"/>
          <w:szCs w:val="24"/>
        </w:rPr>
        <w:t xml:space="preserve">3.3 Not Established</w:t>
      </w:r>
    </w:p>
    <w:p>
      <w:pPr>
        <w:pStyle w:val="ListParagraph"/>
        <w:numPr>
          <w:ilvl w:val="0"/>
          <w:numId w:val="4"/>
        </w:numPr>
        <w:spacing w:after="80" w:line="276"/>
      </w:pPr>
      <w:r>
        <w:rPr>
          <w:rFonts w:ascii="Arial" w:cs="Arial" w:eastAsia="Arial" w:hAnsi="Arial"/>
          <w:sz w:val="22"/>
          <w:szCs w:val="22"/>
        </w:rPr>
        <w:t xml:space="preserve">Judicial durability of class-based transaction designation under § 5318A(a)(4)(A) (no precedent).</w:t>
      </w:r>
    </w:p>
    <w:p>
      <w:pPr>
        <w:pStyle w:val="ListParagraph"/>
        <w:numPr>
          <w:ilvl w:val="0"/>
          <w:numId w:val="4"/>
        </w:numPr>
        <w:spacing w:after="80" w:line="276"/>
      </w:pPr>
      <w:r>
        <w:rPr>
          <w:rFonts w:ascii="Arial" w:cs="Arial" w:eastAsia="Arial" w:hAnsi="Arial"/>
          <w:sz w:val="22"/>
          <w:szCs w:val="22"/>
        </w:rPr>
        <w:t xml:space="preserve">TF network reconstitution timelines after multi-instrument enforcement.</w:t>
      </w:r>
    </w:p>
    <w:p>
      <w:pPr>
        <w:pStyle w:val="ListParagraph"/>
        <w:numPr>
          <w:ilvl w:val="0"/>
          <w:numId w:val="4"/>
        </w:numPr>
        <w:spacing w:after="80" w:line="276"/>
      </w:pPr>
      <w:r>
        <w:rPr>
          <w:rFonts w:ascii="Arial" w:cs="Arial" w:eastAsia="Arial" w:hAnsi="Arial"/>
          <w:sz w:val="22"/>
          <w:szCs w:val="22"/>
        </w:rPr>
        <w:t xml:space="preserve">Whistleblower program effectiveness in Middle Eastern hawala network contexts.</w:t>
      </w:r>
    </w:p>
    <w:p>
      <w:pPr>
        <w:pStyle w:val="ListParagraph"/>
        <w:numPr>
          <w:ilvl w:val="0"/>
          <w:numId w:val="4"/>
        </w:numPr>
        <w:spacing w:after="80" w:line="276"/>
      </w:pPr>
      <w:r>
        <w:rPr>
          <w:rFonts w:ascii="Arial" w:cs="Arial" w:eastAsia="Arial" w:hAnsi="Arial"/>
          <w:sz w:val="22"/>
          <w:szCs w:val="22"/>
        </w:rPr>
        <w:t xml:space="preserve">Prosecutorial viability of any individual § 2339B case (requires case-specific record and DOJ discretion).</w:t>
      </w:r>
    </w:p>
    <w:p>
      <w:pPr>
        <w:pStyle w:val="Heading1"/>
        <w:spacing w:after="200" w:before="360"/>
      </w:pPr>
      <w:r>
        <w:rPr>
          <w:rFonts w:ascii="Arial" w:cs="Arial" w:eastAsia="Arial" w:hAnsi="Arial"/>
          <w:b/>
          <w:bCs/>
          <w:color w:val="1B2A4A"/>
          <w:sz w:val="30"/>
          <w:szCs w:val="30"/>
        </w:rPr>
        <w:t xml:space="preserve">4. Institutional Recommendation Posture</w:t>
      </w:r>
    </w:p>
    <w:p>
      <w:pPr>
        <w:pBdr>
          <w:left w:val="single" w:color="1A5C2E" w:sz="12" w:space="8"/>
        </w:pBdr>
        <w:shd w:fill="EAF4EC" w:val="clear"/>
        <w:spacing w:after="200" w:before="200" w:line="276"/>
        <w:ind w:left="200" w:right="200"/>
      </w:pPr>
      <w:r>
        <w:rPr>
          <w:rFonts w:ascii="Arial" w:cs="Arial" w:eastAsia="Arial" w:hAnsi="Arial"/>
          <w:b/>
          <w:bCs/>
          <w:color w:val="1A5C2E"/>
          <w:sz w:val="20"/>
          <w:szCs w:val="20"/>
        </w:rPr>
        <w:t xml:space="preserve">DOCUMENT STATUS: </w:t>
      </w:r>
      <w:r>
        <w:rPr>
          <w:rFonts w:ascii="Arial" w:cs="Arial" w:eastAsia="Arial" w:hAnsi="Arial"/>
          <w:sz w:val="20"/>
          <w:szCs w:val="20"/>
        </w:rPr>
        <w:t xml:space="preserve">This paper is suitable for legal-policy assessment and exploratory enforcement review. It does not constitute a recommendation for specific enforcement action. Individual actions require: (1) case-specific administrative record development; (2) interagency legal consultation (Treasury OGC, DOJ/AFMLS, FinCEN Legal Division); (3) humanitarian impact screening; (4) executive-level authorization. The hawala class-designation concept (§ 5318A(a)(4)(A)) in particular requires formal legal review by Treasury OGC prior to any designation development activity, given the absence of direct precedent.</w:t>
      </w:r>
    </w:p>
    <w:p>
      <w:pPr>
        <w:pStyle w:val="Heading1"/>
        <w:spacing w:after="200" w:before="360"/>
      </w:pPr>
      <w:r>
        <w:rPr>
          <w:rFonts w:ascii="Arial" w:cs="Arial" w:eastAsia="Arial" w:hAnsi="Arial"/>
          <w:b/>
          <w:bCs/>
          <w:color w:val="1B2A4A"/>
          <w:sz w:val="30"/>
          <w:szCs w:val="30"/>
        </w:rPr>
        <w:t xml:space="preserve">5. Enforcement Architecture</w:t>
      </w:r>
    </w:p>
    <w:p>
      <w:pPr>
        <w:spacing w:after="120" w:line="276"/>
      </w:pPr>
      <w:r>
        <w:rPr>
          <w:rFonts w:ascii="Arial" w:cs="Arial" w:eastAsia="Arial" w:hAnsi="Arial"/>
          <w:sz w:val="22"/>
          <w:szCs w:val="22"/>
        </w:rPr>
        <w:t xml:space="preserve">Each mechanism is presented in six-part format: Authority, Threshold Showing, Procedural Path, Evidentiary Basis, Principal Legal Risks, and Operational Effect.</w:t>
      </w:r>
    </w:p>
    <w:p>
      <w:pPr>
        <w:pStyle w:val="Heading2"/>
        <w:spacing w:after="160" w:before="280"/>
      </w:pPr>
      <w:r>
        <w:rPr>
          <w:rFonts w:ascii="Arial" w:cs="Arial" w:eastAsia="Arial" w:hAnsi="Arial"/>
          <w:b/>
          <w:bCs/>
          <w:color w:val="1B2A4A"/>
          <w:sz w:val="24"/>
          <w:szCs w:val="24"/>
        </w:rPr>
        <w:t xml:space="preserve">5.1 Financial Isolation via Hawala Class Designation</w:t>
      </w:r>
    </w:p>
    <w:p>
      <w:pPr>
        <w:spacing w:after="120" w:before="200"/>
      </w:pPr>
      <w:r>
        <w:rPr>
          <w:rFonts w:ascii="Arial" w:cs="Arial" w:eastAsia="Arial" w:hAnsi="Arial"/>
          <w:b/>
          <w:bCs/>
          <w:color w:val="4A5568"/>
          <w:sz w:val="22"/>
          <w:szCs w:val="22"/>
        </w:rPr>
        <w:t xml:space="preserve">Authority</w:t>
      </w:r>
    </w:p>
    <w:p>
      <w:pPr>
        <w:spacing w:after="120" w:line="276"/>
      </w:pPr>
      <w:r>
        <w:rPr>
          <w:rFonts w:ascii="Arial" w:cs="Arial" w:eastAsia="Arial" w:hAnsi="Arial"/>
          <w:sz w:val="22"/>
          <w:szCs w:val="22"/>
        </w:rPr>
        <w:t xml:space="preserve">31 U.S.C. § 5318A(a)(4)(A) (designation of classes of transactions as PMLC). Fifth special measure under § 5318A(b)(5). Mandatory correspondent termination under § 5318(j)(2)–(3) for § 5318(k) subpoena non-compliance.</w:t>
      </w:r>
    </w:p>
    <w:p>
      <w:pPr>
        <w:spacing w:after="120" w:before="200"/>
      </w:pPr>
      <w:r>
        <w:rPr>
          <w:rFonts w:ascii="Arial" w:cs="Arial" w:eastAsia="Arial" w:hAnsi="Arial"/>
          <w:b/>
          <w:bCs/>
          <w:color w:val="4A5568"/>
          <w:sz w:val="22"/>
          <w:szCs w:val="22"/>
        </w:rPr>
        <w:t xml:space="preserve">Threshold Showing</w:t>
      </w:r>
    </w:p>
    <w:p>
      <w:pPr>
        <w:pStyle w:val="ListParagraph"/>
        <w:numPr>
          <w:ilvl w:val="0"/>
          <w:numId w:val="5"/>
        </w:numPr>
        <w:spacing w:after="80" w:line="276"/>
      </w:pPr>
      <w:r>
        <w:rPr>
          <w:rFonts w:ascii="Arial" w:cs="Arial" w:eastAsia="Arial" w:hAnsi="Arial"/>
          <w:sz w:val="22"/>
          <w:szCs w:val="22"/>
        </w:rPr>
        <w:t xml:space="preserve">Reasonable grounds that the designated class of transactions is of primary money laundering concern (§ 5318A(c) factors).</w:t>
      </w:r>
    </w:p>
    <w:p>
      <w:pPr>
        <w:pStyle w:val="ListParagraph"/>
        <w:numPr>
          <w:ilvl w:val="0"/>
          <w:numId w:val="5"/>
        </w:numPr>
        <w:spacing w:after="80" w:line="276"/>
      </w:pPr>
      <w:r>
        <w:rPr>
          <w:rFonts w:ascii="Arial" w:cs="Arial" w:eastAsia="Arial" w:hAnsi="Arial"/>
          <w:sz w:val="22"/>
          <w:szCs w:val="22"/>
        </w:rPr>
        <w:t xml:space="preserve">Nexus between the transaction class and terrorist financing activity (not merely geographic correlation).</w:t>
      </w:r>
    </w:p>
    <w:p>
      <w:pPr>
        <w:pStyle w:val="ListParagraph"/>
        <w:numPr>
          <w:ilvl w:val="0"/>
          <w:numId w:val="5"/>
        </w:numPr>
        <w:spacing w:after="80" w:line="276"/>
      </w:pPr>
      <w:r>
        <w:rPr>
          <w:rFonts w:ascii="Arial" w:cs="Arial" w:eastAsia="Arial" w:hAnsi="Arial"/>
          <w:sz w:val="22"/>
          <w:szCs w:val="22"/>
        </w:rPr>
        <w:t xml:space="preserve">Proportionality: that the special measure is commensurate with identified risk and does not unreasonably burden lawful remittance activity.</w:t>
      </w:r>
    </w:p>
    <w:p>
      <w:pPr>
        <w:spacing w:after="120" w:before="200"/>
      </w:pPr>
      <w:r>
        <w:rPr>
          <w:rFonts w:ascii="Arial" w:cs="Arial" w:eastAsia="Arial" w:hAnsi="Arial"/>
          <w:b/>
          <w:bCs/>
          <w:color w:val="4A5568"/>
          <w:sz w:val="22"/>
          <w:szCs w:val="22"/>
        </w:rPr>
        <w:t xml:space="preserve">Designation Options (Graduated)</w:t>
      </w:r>
    </w:p>
    <w:p>
      <w:pPr>
        <w:spacing w:after="120" w:line="276"/>
      </w:pPr>
      <w:r>
        <w:rPr>
          <w:rFonts w:ascii="Arial" w:cs="Arial" w:eastAsia="Arial" w:hAnsi="Arial"/>
          <w:sz w:val="22"/>
          <w:szCs w:val="22"/>
        </w:rPr>
        <w:t xml:space="preserve">A JD-grade analysis presents graduated options from narrowest to broadest:</w:t>
      </w:r>
    </w:p>
    <w:p>
      <w:pPr>
        <w:pStyle w:val="ListParagraph"/>
        <w:numPr>
          <w:ilvl w:val="0"/>
          <w:numId w:val="6"/>
        </w:numPr>
        <w:spacing w:after="80" w:line="276"/>
      </w:pPr>
      <w:r>
        <w:rPr>
          <w:rFonts w:ascii="Arial" w:cs="Arial" w:eastAsia="Arial" w:hAnsi="Arial"/>
          <w:sz w:val="22"/>
          <w:szCs w:val="22"/>
        </w:rPr>
        <w:t xml:space="preserve">Narrow option: targeted corridor-specific finding tied to defined risk indicators (e.g., UAE→Lebanon transfers exceeding $10K involving identified exchange houses). Lowest APA risk. Narrowest disruption footprint.</w:t>
      </w:r>
    </w:p>
    <w:p>
      <w:pPr>
        <w:pStyle w:val="ListParagraph"/>
        <w:numPr>
          <w:ilvl w:val="0"/>
          <w:numId w:val="6"/>
        </w:numPr>
        <w:spacing w:after="80" w:line="276"/>
      </w:pPr>
      <w:r>
        <w:rPr>
          <w:rFonts w:ascii="Arial" w:cs="Arial" w:eastAsia="Arial" w:hAnsi="Arial"/>
          <w:sz w:val="22"/>
          <w:szCs w:val="22"/>
        </w:rPr>
        <w:t xml:space="preserve">Intermediate option: class-based designation limited to enumerated high-risk transaction typologies (e.g., unregistered hawala transfers in FATF-deficient jurisdictions exceeding specified thresholds). Moderate APA risk. Broader disruption.</w:t>
      </w:r>
    </w:p>
    <w:p>
      <w:pPr>
        <w:pStyle w:val="ListParagraph"/>
        <w:numPr>
          <w:ilvl w:val="0"/>
          <w:numId w:val="6"/>
        </w:numPr>
        <w:spacing w:after="80" w:line="276"/>
      </w:pPr>
      <w:r>
        <w:rPr>
          <w:rFonts w:ascii="Arial" w:cs="Arial" w:eastAsia="Arial" w:hAnsi="Arial"/>
          <w:sz w:val="22"/>
          <w:szCs w:val="22"/>
        </w:rPr>
        <w:t xml:space="preserve">Broad option: corridor-wide class designation covering all informal value transfer in specified corridors. Highest APA and overbreadth risk. Maximum disruption. Strongest proportionality challenge.</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DISCRETION NODE: </w:t>
      </w:r>
      <w:r>
        <w:rPr>
          <w:rFonts w:ascii="Arial" w:cs="Arial" w:eastAsia="Arial" w:hAnsi="Arial"/>
          <w:sz w:val="20"/>
          <w:szCs w:val="20"/>
        </w:rPr>
        <w:t xml:space="preserve">PMLC designation is a discretionary Treasury action. FinCEN Director determines whether the administrative record supports the finding. Secretary of the Treasury has final authority. Class-based designation under § 5318A(a)(4)(A) has no direct precedent; Treasury OGC review is required before designation development. Interagency consultation required for actions with foreign policy implications.</w:t>
      </w:r>
    </w:p>
    <w:p>
      <w:pPr>
        <w:spacing w:after="120" w:before="200"/>
      </w:pPr>
      <w:r>
        <w:rPr>
          <w:rFonts w:ascii="Arial" w:cs="Arial" w:eastAsia="Arial" w:hAnsi="Arial"/>
          <w:b/>
          <w:bCs/>
          <w:color w:val="4A5568"/>
          <w:sz w:val="22"/>
          <w:szCs w:val="22"/>
        </w:rPr>
        <w:t xml:space="preserve">Evidentiary Basis Presently Available</w:t>
      </w:r>
    </w:p>
    <w:p>
      <w:pPr>
        <w:pStyle w:val="ListParagraph"/>
        <w:numPr>
          <w:ilvl w:val="0"/>
          <w:numId w:val="7"/>
        </w:numPr>
        <w:spacing w:after="80" w:line="276"/>
      </w:pPr>
      <w:r>
        <w:rPr>
          <w:rFonts w:ascii="Arial" w:cs="Arial" w:eastAsia="Arial" w:hAnsi="Arial"/>
          <w:sz w:val="22"/>
          <w:szCs w:val="22"/>
        </w:rPr>
        <w:t xml:space="preserve">Established: statutory authority for class-based designation (§ 5318A(a)(4)(A) text); FATF high-risk jurisdiction designations (Lebanon, Turkey, UAE) [Tier 1].</w:t>
      </w:r>
    </w:p>
    <w:p>
      <w:pPr>
        <w:pStyle w:val="ListParagraph"/>
        <w:numPr>
          <w:ilvl w:val="0"/>
          <w:numId w:val="7"/>
        </w:numPr>
        <w:spacing w:after="80" w:line="276"/>
      </w:pPr>
      <w:r>
        <w:rPr>
          <w:rFonts w:ascii="Arial" w:cs="Arial" w:eastAsia="Arial" w:hAnsi="Arial"/>
          <w:sz w:val="22"/>
          <w:szCs w:val="22"/>
        </w:rPr>
        <w:t xml:space="preserve">Established: FinCEN October 2025 analysis ($9B Iranian shadow banking) [Tier 1].</w:t>
      </w:r>
    </w:p>
    <w:p>
      <w:pPr>
        <w:pStyle w:val="ListParagraph"/>
        <w:numPr>
          <w:ilvl w:val="0"/>
          <w:numId w:val="7"/>
        </w:numPr>
        <w:spacing w:after="80" w:line="276"/>
      </w:pPr>
      <w:r>
        <w:rPr>
          <w:rFonts w:ascii="Arial" w:cs="Arial" w:eastAsia="Arial" w:hAnsi="Arial"/>
          <w:sz w:val="22"/>
          <w:szCs w:val="22"/>
        </w:rPr>
        <w:t xml:space="preserve">Likely inferable: hawala corridor transaction patterns linking high-risk jurisdictions to TF activity (FinCEN SAR aggregation, § 314(a) queries) [Tier 1–2].</w:t>
      </w:r>
    </w:p>
    <w:p>
      <w:pPr>
        <w:pStyle w:val="ListParagraph"/>
        <w:numPr>
          <w:ilvl w:val="0"/>
          <w:numId w:val="7"/>
        </w:numPr>
        <w:spacing w:after="80" w:line="276"/>
      </w:pPr>
      <w:r>
        <w:rPr>
          <w:rFonts w:ascii="Arial" w:cs="Arial" w:eastAsia="Arial" w:hAnsi="Arial"/>
          <w:sz w:val="22"/>
          <w:szCs w:val="22"/>
        </w:rPr>
        <w:t xml:space="preserve">Requires development: corridor-specific transaction data distinguishing TF-linked from legitimate hawala activity; proportionality analysis demonstrating that the special measure does not unreasonably burden lawful remittances.</w:t>
      </w:r>
    </w:p>
    <w:p>
      <w:pPr>
        <w:pStyle w:val="ListParagraph"/>
        <w:numPr>
          <w:ilvl w:val="0"/>
          <w:numId w:val="7"/>
        </w:numPr>
        <w:spacing w:after="80" w:line="276"/>
      </w:pPr>
      <w:r>
        <w:rPr>
          <w:rFonts w:ascii="Arial" w:cs="Arial" w:eastAsia="Arial" w:hAnsi="Arial"/>
          <w:sz w:val="22"/>
          <w:szCs w:val="22"/>
        </w:rPr>
        <w:t xml:space="preserve">Insufficient without supplementation: class-wide designation without corridor-specific risk differentiation.</w:t>
      </w:r>
    </w:p>
    <w:p>
      <w:pPr>
        <w:spacing w:after="120" w:before="200"/>
      </w:pPr>
      <w:r>
        <w:rPr>
          <w:rFonts w:ascii="Arial" w:cs="Arial" w:eastAsia="Arial" w:hAnsi="Arial"/>
          <w:b/>
          <w:bCs/>
          <w:color w:val="4A5568"/>
          <w:sz w:val="22"/>
          <w:szCs w:val="22"/>
        </w:rPr>
        <w:t xml:space="preserve">Principal Legal Risks</w:t>
      </w:r>
    </w:p>
    <w:p>
      <w:pPr>
        <w:pStyle w:val="ListParagraph"/>
        <w:numPr>
          <w:ilvl w:val="0"/>
          <w:numId w:val="8"/>
        </w:numPr>
        <w:spacing w:after="80" w:line="276"/>
      </w:pPr>
      <w:r>
        <w:rPr>
          <w:rFonts w:ascii="Arial" w:cs="Arial" w:eastAsia="Arial" w:hAnsi="Arial"/>
          <w:sz w:val="22"/>
          <w:szCs w:val="22"/>
        </w:rPr>
        <w:t xml:space="preserve">APA arbitrary-and-capricious challenge: class-based designation must demonstrate reasoned decision-making and substantial evidence. A designation that fails to differentiate high-risk from legitimate hawala activity within the class is vulnerable to vacatur under Motor Vehicle Mfrs. Ass’n v. State Farm, 463 U.S. 29 (1983).</w:t>
      </w:r>
    </w:p>
    <w:p>
      <w:pPr>
        <w:pStyle w:val="ListParagraph"/>
        <w:numPr>
          <w:ilvl w:val="0"/>
          <w:numId w:val="8"/>
        </w:numPr>
        <w:spacing w:after="80" w:line="276"/>
      </w:pPr>
      <w:r>
        <w:rPr>
          <w:rFonts w:ascii="Arial" w:cs="Arial" w:eastAsia="Arial" w:hAnsi="Arial"/>
          <w:sz w:val="22"/>
          <w:szCs w:val="22"/>
        </w:rPr>
        <w:t xml:space="preserve">Overbreadth / proportionality: class designation affecting lawful remittance corridors may face challenge under the proportionality requirement implicit in § 5318A(c) factor analysis.</w:t>
      </w:r>
    </w:p>
    <w:p>
      <w:pPr>
        <w:pStyle w:val="ListParagraph"/>
        <w:numPr>
          <w:ilvl w:val="0"/>
          <w:numId w:val="8"/>
        </w:numPr>
        <w:spacing w:after="80" w:line="276"/>
      </w:pPr>
      <w:r>
        <w:rPr>
          <w:rFonts w:ascii="Arial" w:cs="Arial" w:eastAsia="Arial" w:hAnsi="Arial"/>
          <w:sz w:val="22"/>
          <w:szCs w:val="22"/>
        </w:rPr>
        <w:t xml:space="preserve">Lawful commerce burden: humanitarian and personal remittance organizations may challenge the designation as an unreasonable burden on protected financial activity. OFAC General License carve-outs mitigate but may not fully address this risk.</w:t>
      </w:r>
    </w:p>
    <w:p>
      <w:pPr>
        <w:pStyle w:val="ListParagraph"/>
        <w:numPr>
          <w:ilvl w:val="0"/>
          <w:numId w:val="8"/>
        </w:numPr>
        <w:spacing w:after="80" w:line="276"/>
      </w:pPr>
      <w:r>
        <w:rPr>
          <w:rFonts w:ascii="Arial" w:cs="Arial" w:eastAsia="Arial" w:hAnsi="Arial"/>
          <w:sz w:val="22"/>
          <w:szCs w:val="22"/>
        </w:rPr>
        <w:t xml:space="preserve">First-impression statutory interpretation: no court has reviewed a § 5318A(a)(4)(A) class-based transaction designation. The absence of precedent means judicial reception is uncertain.</w:t>
      </w:r>
    </w:p>
    <w:p>
      <w:pPr>
        <w:pStyle w:val="ListParagraph"/>
        <w:numPr>
          <w:ilvl w:val="0"/>
          <w:numId w:val="8"/>
        </w:numPr>
        <w:spacing w:after="80" w:line="276"/>
      </w:pPr>
      <w:r>
        <w:rPr>
          <w:rFonts w:ascii="Arial" w:cs="Arial" w:eastAsia="Arial" w:hAnsi="Arial"/>
          <w:sz w:val="22"/>
          <w:szCs w:val="22"/>
        </w:rPr>
        <w:t xml:space="preserve">Record insufficiency: if the administrative record relies on classified intelligence, the public record may be insufficient to sustain review under the substantial evidence standard.</w:t>
      </w:r>
    </w:p>
    <w:p>
      <w:pPr>
        <w:spacing w:after="120" w:before="200"/>
      </w:pPr>
      <w:r>
        <w:rPr>
          <w:rFonts w:ascii="Arial" w:cs="Arial" w:eastAsia="Arial" w:hAnsi="Arial"/>
          <w:b/>
          <w:bCs/>
          <w:color w:val="4A5568"/>
          <w:sz w:val="22"/>
          <w:szCs w:val="22"/>
        </w:rPr>
        <w:t xml:space="preserve">Operational Effect (If Sustained)</w:t>
      </w:r>
    </w:p>
    <w:p>
      <w:pPr>
        <w:spacing w:after="120" w:line="276"/>
      </w:pPr>
      <w:r>
        <w:rPr>
          <w:rFonts w:ascii="Arial" w:cs="Arial" w:eastAsia="Arial" w:hAnsi="Arial"/>
          <w:sz w:val="22"/>
          <w:szCs w:val="22"/>
        </w:rPr>
        <w:t xml:space="preserve">If the designation is sustained and enforced, U.S. correspondent banks would be required to reject transactions within the designated class. The operational effect is assessed as likely to increase transaction costs for TF networks operating through designated corridors, subject to adversary adaptation via alternative financial channels (see Section 11).</w:t>
      </w:r>
    </w:p>
    <w:p>
      <w:pPr>
        <w:pStyle w:val="Heading2"/>
        <w:spacing w:after="160" w:before="280"/>
      </w:pPr>
      <w:r>
        <w:rPr>
          <w:rFonts w:ascii="Arial" w:cs="Arial" w:eastAsia="Arial" w:hAnsi="Arial"/>
          <w:b/>
          <w:bCs/>
          <w:color w:val="1B2A4A"/>
          <w:sz w:val="24"/>
          <w:szCs w:val="24"/>
        </w:rPr>
        <w:t xml:space="preserve">5.2 Asset Blocking and Notice Letters</w:t>
      </w:r>
    </w:p>
    <w:p>
      <w:pPr>
        <w:spacing w:after="120" w:before="200"/>
      </w:pPr>
      <w:r>
        <w:rPr>
          <w:rFonts w:ascii="Arial" w:cs="Arial" w:eastAsia="Arial" w:hAnsi="Arial"/>
          <w:b/>
          <w:bCs/>
          <w:color w:val="4A5568"/>
          <w:sz w:val="22"/>
          <w:szCs w:val="22"/>
        </w:rPr>
        <w:t xml:space="preserve">Authority</w:t>
      </w:r>
    </w:p>
    <w:p>
      <w:pPr>
        <w:spacing w:after="120" w:line="276"/>
      </w:pPr>
      <w:r>
        <w:rPr>
          <w:rFonts w:ascii="Arial" w:cs="Arial" w:eastAsia="Arial" w:hAnsi="Arial"/>
          <w:sz w:val="22"/>
          <w:szCs w:val="22"/>
        </w:rPr>
        <w:t xml:space="preserve">E.O. 13224 (SDGT designation). 18 U.S.C. § 2339B (material support). Extraterritorial jurisdiction per § 2339B(d)(1)(C).</w:t>
      </w:r>
    </w:p>
    <w:p>
      <w:pPr>
        <w:spacing w:after="120" w:before="200"/>
      </w:pPr>
      <w:r>
        <w:rPr>
          <w:rFonts w:ascii="Arial" w:cs="Arial" w:eastAsia="Arial" w:hAnsi="Arial"/>
          <w:b/>
          <w:bCs/>
          <w:color w:val="4A5568"/>
          <w:sz w:val="22"/>
          <w:szCs w:val="22"/>
        </w:rPr>
        <w:t xml:space="preserve">Threshold Showing</w:t>
      </w:r>
    </w:p>
    <w:p>
      <w:pPr>
        <w:pStyle w:val="ListParagraph"/>
        <w:numPr>
          <w:ilvl w:val="0"/>
          <w:numId w:val="9"/>
        </w:numPr>
        <w:spacing w:after="80" w:line="276"/>
      </w:pPr>
      <w:r>
        <w:rPr>
          <w:rFonts w:ascii="Arial" w:cs="Arial" w:eastAsia="Arial" w:hAnsi="Arial"/>
          <w:sz w:val="22"/>
          <w:szCs w:val="22"/>
        </w:rPr>
        <w:t xml:space="preserve">SDGT designation: reasonable basis to believe the entity is a specially designated global terrorist or provides support to such entities (E.O. 13224 standard).</w:t>
      </w:r>
    </w:p>
    <w:p>
      <w:pPr>
        <w:pStyle w:val="ListParagraph"/>
        <w:numPr>
          <w:ilvl w:val="0"/>
          <w:numId w:val="9"/>
        </w:numPr>
        <w:spacing w:after="80" w:line="276"/>
      </w:pPr>
      <w:r>
        <w:rPr>
          <w:rFonts w:ascii="Arial" w:cs="Arial" w:eastAsia="Arial" w:hAnsi="Arial"/>
          <w:sz w:val="22"/>
          <w:szCs w:val="22"/>
        </w:rPr>
        <w:t xml:space="preserve">Material support (§ 2339B): knowledge that the organization is a designated FTO or engaged in relevant activity; provision of material support or resources; jurisdictional nexus.</w:t>
      </w:r>
    </w:p>
    <w:p>
      <w:pPr>
        <w:spacing w:after="120" w:before="200"/>
      </w:pPr>
      <w:r>
        <w:rPr>
          <w:rFonts w:ascii="Arial" w:cs="Arial" w:eastAsia="Arial" w:hAnsi="Arial"/>
          <w:b/>
          <w:bCs/>
          <w:color w:val="4A5568"/>
          <w:sz w:val="22"/>
          <w:szCs w:val="22"/>
        </w:rPr>
        <w:t xml:space="preserve">Procedural Path</w:t>
      </w:r>
    </w:p>
    <w:p>
      <w:pPr>
        <w:pStyle w:val="ListParagraph"/>
        <w:numPr>
          <w:ilvl w:val="0"/>
          <w:numId w:val="10"/>
        </w:numPr>
        <w:spacing w:after="80" w:line="276"/>
      </w:pPr>
      <w:r>
        <w:rPr>
          <w:rFonts w:ascii="Arial" w:cs="Arial" w:eastAsia="Arial" w:hAnsi="Arial"/>
          <w:sz w:val="22"/>
          <w:szCs w:val="22"/>
        </w:rPr>
        <w:t xml:space="preserve">OFAC develops designation package with evidentiary basis.</w:t>
      </w:r>
    </w:p>
    <w:p>
      <w:pPr>
        <w:pStyle w:val="ListParagraph"/>
        <w:numPr>
          <w:ilvl w:val="0"/>
          <w:numId w:val="10"/>
        </w:numPr>
        <w:spacing w:after="80" w:line="276"/>
      </w:pPr>
      <w:r>
        <w:rPr>
          <w:rFonts w:ascii="Arial" w:cs="Arial" w:eastAsia="Arial" w:hAnsi="Arial"/>
          <w:sz w:val="22"/>
          <w:szCs w:val="22"/>
        </w:rPr>
        <w:t xml:space="preserve">Treasury delivers notice letters to exchange houses and procurement firms documenting SDGT end-user status and § 2339B liability parameters.</w:t>
      </w:r>
    </w:p>
    <w:p>
      <w:pPr>
        <w:pStyle w:val="ListParagraph"/>
        <w:numPr>
          <w:ilvl w:val="0"/>
          <w:numId w:val="10"/>
        </w:numPr>
        <w:spacing w:after="80" w:line="276"/>
      </w:pPr>
      <w:r>
        <w:rPr>
          <w:rFonts w:ascii="Arial" w:cs="Arial" w:eastAsia="Arial" w:hAnsi="Arial"/>
          <w:sz w:val="22"/>
          <w:szCs w:val="22"/>
        </w:rPr>
        <w:t xml:space="preserve">Service documentation preserved for evidentiary use in subsequent proceedings.</w:t>
      </w:r>
    </w:p>
    <w:p>
      <w:pPr>
        <w:pStyle w:val="ListParagraph"/>
        <w:numPr>
          <w:ilvl w:val="0"/>
          <w:numId w:val="10"/>
        </w:numPr>
        <w:spacing w:after="80" w:line="276"/>
      </w:pPr>
      <w:r>
        <w:rPr>
          <w:rFonts w:ascii="Arial" w:cs="Arial" w:eastAsia="Arial" w:hAnsi="Arial"/>
          <w:sz w:val="22"/>
          <w:szCs w:val="22"/>
        </w:rPr>
        <w:t xml:space="preserve">Post-notice transaction monitoring; referral to DOJ for investigative consideration where post-notice activity is identified.</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DISCRETION NODE: </w:t>
      </w:r>
      <w:r>
        <w:rPr>
          <w:rFonts w:ascii="Arial" w:cs="Arial" w:eastAsia="Arial" w:hAnsi="Arial"/>
          <w:sz w:val="20"/>
          <w:szCs w:val="20"/>
        </w:rPr>
        <w:t xml:space="preserve">OFAC retains designation discretion. DOJ retains exclusive prosecutorial discretion for § 2339B cases. Notice delivery does not compel investigation or prosecution. Charging decisions are subject to DOJ Principles of Federal Prosecution (§ 9-27.000, USAM). Extraterritorial prosecution requires Main Justice authorization.</w:t>
      </w:r>
    </w:p>
    <w:p>
      <w:pPr>
        <w:spacing w:after="120" w:before="200"/>
      </w:pPr>
      <w:r>
        <w:rPr>
          <w:rFonts w:ascii="Arial" w:cs="Arial" w:eastAsia="Arial" w:hAnsi="Arial"/>
          <w:b/>
          <w:bCs/>
          <w:color w:val="4A5568"/>
          <w:sz w:val="22"/>
          <w:szCs w:val="22"/>
        </w:rPr>
        <w:t xml:space="preserve">Evidentiary Basis</w:t>
      </w:r>
    </w:p>
    <w:p>
      <w:pPr>
        <w:pStyle w:val="ListParagraph"/>
        <w:numPr>
          <w:ilvl w:val="0"/>
          <w:numId w:val="11"/>
        </w:numPr>
        <w:spacing w:after="80" w:line="276"/>
      </w:pPr>
      <w:r>
        <w:rPr>
          <w:rFonts w:ascii="Arial" w:cs="Arial" w:eastAsia="Arial" w:hAnsi="Arial"/>
          <w:sz w:val="22"/>
          <w:szCs w:val="22"/>
        </w:rPr>
        <w:t xml:space="preserve">Established: SDGT designation authorities; FTO designations (Houthi March 2025) [Tier 1].</w:t>
      </w:r>
    </w:p>
    <w:p>
      <w:pPr>
        <w:pStyle w:val="ListParagraph"/>
        <w:numPr>
          <w:ilvl w:val="0"/>
          <w:numId w:val="11"/>
        </w:numPr>
        <w:spacing w:after="80" w:line="276"/>
      </w:pPr>
      <w:r>
        <w:rPr>
          <w:rFonts w:ascii="Arial" w:cs="Arial" w:eastAsia="Arial" w:hAnsi="Arial"/>
          <w:sz w:val="22"/>
          <w:szCs w:val="22"/>
        </w:rPr>
        <w:t xml:space="preserve">Likely inferable: exchange house facilitation patterns (FinCEN SAR aggregation) [Tier 1–2].</w:t>
      </w:r>
    </w:p>
    <w:p>
      <w:pPr>
        <w:pStyle w:val="ListParagraph"/>
        <w:numPr>
          <w:ilvl w:val="0"/>
          <w:numId w:val="11"/>
        </w:numPr>
        <w:spacing w:after="80" w:line="276"/>
      </w:pPr>
      <w:r>
        <w:rPr>
          <w:rFonts w:ascii="Arial" w:cs="Arial" w:eastAsia="Arial" w:hAnsi="Arial"/>
          <w:sz w:val="22"/>
          <w:szCs w:val="22"/>
        </w:rPr>
        <w:t xml:space="preserve">Requires development: documented notice service proof for each entity; post-notice transaction evidence; jurisdictional nexus for each transaction; admissible evidence of knowledge.</w:t>
      </w:r>
    </w:p>
    <w:p>
      <w:pPr>
        <w:numPr>
          <w:ilvl w:val="0"/>
          <w:numId w:val="8"/>
        </w:numPr>
        <w:spacing w:after="80" w:line="276"/>
      </w:pPr>
      <w:r>
        <w:rPr>
          <w:rFonts w:ascii="Arial" w:cs="Arial" w:eastAsia="Arial" w:hAnsi="Arial"/>
          <w:sz w:val="22"/>
          <w:szCs w:val="22"/>
        </w:rPr>
        <w:t xml:space="preserve">Insufficient without supplementation: notice delivery absent post-notice transaction linkage or jurisdictional nexus is insufficient to support enforcement consideration.</w:t>
      </w:r>
    </w:p>
    <w:p>
      <w:pPr>
        <w:spacing w:after="120" w:before="200"/>
      </w:pPr>
      <w:r>
        <w:rPr>
          <w:rFonts w:ascii="Arial" w:cs="Arial" w:eastAsia="Arial" w:hAnsi="Arial"/>
          <w:b/>
          <w:bCs/>
          <w:color w:val="4A5568"/>
          <w:sz w:val="22"/>
          <w:szCs w:val="22"/>
        </w:rPr>
        <w:t xml:space="preserve">Principal Legal Risks</w:t>
      </w:r>
    </w:p>
    <w:p>
      <w:pPr>
        <w:pStyle w:val="ListParagraph"/>
        <w:numPr>
          <w:ilvl w:val="0"/>
          <w:numId w:val="12"/>
        </w:numPr>
        <w:spacing w:after="80" w:line="276"/>
      </w:pPr>
      <w:r>
        <w:rPr>
          <w:rFonts w:ascii="Arial" w:cs="Arial" w:eastAsia="Arial" w:hAnsi="Arial"/>
          <w:sz w:val="22"/>
          <w:szCs w:val="22"/>
        </w:rPr>
        <w:t xml:space="preserve">Scienter: defendants may argue constructive knowledge from notice is insufficient; actual knowledge of specific end-user identity may require additional proof.</w:t>
      </w:r>
    </w:p>
    <w:p>
      <w:pPr>
        <w:pStyle w:val="ListParagraph"/>
        <w:numPr>
          <w:ilvl w:val="0"/>
          <w:numId w:val="12"/>
        </w:numPr>
        <w:spacing w:after="80" w:line="276"/>
      </w:pPr>
      <w:r>
        <w:rPr>
          <w:rFonts w:ascii="Arial" w:cs="Arial" w:eastAsia="Arial" w:hAnsi="Arial"/>
          <w:sz w:val="22"/>
          <w:szCs w:val="22"/>
        </w:rPr>
        <w:t xml:space="preserve">Extraterritorial jurisdiction: nexus must be established case by case (§ 2339B(d)(1)(C)).</w:t>
      </w:r>
    </w:p>
    <w:p>
      <w:pPr>
        <w:pStyle w:val="ListParagraph"/>
        <w:numPr>
          <w:ilvl w:val="0"/>
          <w:numId w:val="12"/>
        </w:numPr>
        <w:spacing w:after="80" w:line="276"/>
      </w:pPr>
      <w:r>
        <w:rPr>
          <w:rFonts w:ascii="Arial" w:cs="Arial" w:eastAsia="Arial" w:hAnsi="Arial"/>
          <w:sz w:val="22"/>
          <w:szCs w:val="22"/>
        </w:rPr>
        <w:t xml:space="preserve">Evidentiary admissibility: blockchain attribution and financial flow analysis may face Daubert challenges.</w:t>
      </w:r>
    </w:p>
    <w:p>
      <w:pPr>
        <w:spacing w:after="120" w:before="200"/>
      </w:pPr>
      <w:r>
        <w:rPr>
          <w:rFonts w:ascii="Arial" w:cs="Arial" w:eastAsia="Arial" w:hAnsi="Arial"/>
          <w:b/>
          <w:bCs/>
          <w:color w:val="4A5568"/>
          <w:sz w:val="22"/>
          <w:szCs w:val="22"/>
        </w:rPr>
        <w:t xml:space="preserve">Operational Effect</w:t>
      </w:r>
    </w:p>
    <w:p>
      <w:pPr>
        <w:spacing w:after="120" w:line="276"/>
      </w:pPr>
      <w:r>
        <w:rPr>
          <w:rFonts w:ascii="Arial" w:cs="Arial" w:eastAsia="Arial" w:hAnsi="Arial"/>
          <w:sz w:val="22"/>
          <w:szCs w:val="22"/>
        </w:rPr>
        <w:t xml:space="preserve">The operational effect of notice delivery is to reduce evidentiary uncertainty regarding knowledge of end-user status. Where notice is documented and subsequent transactions can be linked to designated entities, such procedures may materially strengthen the evidentiary basis for investigative or prosecutorial consideration under § 2339B, subject to case-specific proof of knowledge, intent, jurisdictional nexus, and admissible evidence.</w:t>
      </w:r>
    </w:p>
    <w:p>
      <w:pPr>
        <w:pStyle w:val="Heading2"/>
        <w:spacing w:after="160" w:before="280"/>
      </w:pPr>
      <w:r>
        <w:rPr>
          <w:rFonts w:ascii="Arial" w:cs="Arial" w:eastAsia="Arial" w:hAnsi="Arial"/>
          <w:b/>
          <w:bCs/>
          <w:color w:val="1B2A4A"/>
          <w:sz w:val="24"/>
          <w:szCs w:val="24"/>
        </w:rPr>
        <w:t xml:space="preserve">5.3 Whistleblower Incentive Program</w:t>
      </w:r>
    </w:p>
    <w:p>
      <w:pPr>
        <w:spacing w:after="120" w:before="200"/>
      </w:pPr>
      <w:r>
        <w:rPr>
          <w:rFonts w:ascii="Arial" w:cs="Arial" w:eastAsia="Arial" w:hAnsi="Arial"/>
          <w:b/>
          <w:bCs/>
          <w:color w:val="4A5568"/>
          <w:sz w:val="22"/>
          <w:szCs w:val="22"/>
        </w:rPr>
        <w:t xml:space="preserve">Authority</w:t>
      </w:r>
    </w:p>
    <w:p>
      <w:pPr>
        <w:spacing w:after="120" w:line="276"/>
      </w:pPr>
      <w:r>
        <w:rPr>
          <w:rFonts w:ascii="Arial" w:cs="Arial" w:eastAsia="Arial" w:hAnsi="Arial"/>
          <w:sz w:val="22"/>
          <w:szCs w:val="22"/>
        </w:rPr>
        <w:t xml:space="preserve">31 U.S.C. § 5323 (AML Act of 2020). Compensation: up to 30% of collected fines, capped at $5M per individual.</w:t>
      </w:r>
    </w:p>
    <w:p>
      <w:pPr>
        <w:spacing w:after="120" w:before="200"/>
      </w:pPr>
      <w:r>
        <w:rPr>
          <w:rFonts w:ascii="Arial" w:cs="Arial" w:eastAsia="Arial" w:hAnsi="Arial"/>
          <w:b/>
          <w:bCs/>
          <w:color w:val="4A5568"/>
          <w:sz w:val="22"/>
          <w:szCs w:val="22"/>
        </w:rPr>
        <w:t xml:space="preserve">Threshold Showing</w:t>
      </w:r>
    </w:p>
    <w:p>
      <w:pPr>
        <w:spacing w:after="120" w:line="276"/>
      </w:pPr>
      <w:r>
        <w:rPr>
          <w:rFonts w:ascii="Arial" w:cs="Arial" w:eastAsia="Arial" w:hAnsi="Arial"/>
          <w:sz w:val="22"/>
          <w:szCs w:val="22"/>
        </w:rPr>
        <w:t xml:space="preserve">Original information leading to successful enforcement action with monetary sanctions exceeding $1M (§ 5323(b)(1)).</w:t>
      </w:r>
    </w:p>
    <w:p>
      <w:pPr>
        <w:spacing w:after="120" w:before="200"/>
      </w:pPr>
      <w:r>
        <w:rPr>
          <w:rFonts w:ascii="Arial" w:cs="Arial" w:eastAsia="Arial" w:hAnsi="Arial"/>
          <w:b/>
          <w:bCs/>
          <w:color w:val="4A5568"/>
          <w:sz w:val="22"/>
          <w:szCs w:val="22"/>
        </w:rPr>
        <w:t xml:space="preserve">Procedural Path</w:t>
      </w:r>
    </w:p>
    <w:p>
      <w:pPr>
        <w:spacing w:after="120" w:line="276"/>
      </w:pPr>
      <w:r>
        <w:rPr>
          <w:rFonts w:ascii="Arial" w:cs="Arial" w:eastAsia="Arial" w:hAnsi="Arial"/>
          <w:sz w:val="22"/>
          <w:szCs w:val="22"/>
        </w:rPr>
        <w:t xml:space="preserve">FinCEN administers. Tips via encrypted portal. Awards determined post-enforcement action. Witness protection coordination with FBI for high-value defectors, subject to FBI discretion.</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DISCRETION NODE: </w:t>
      </w:r>
      <w:r>
        <w:rPr>
          <w:rFonts w:ascii="Arial" w:cs="Arial" w:eastAsia="Arial" w:hAnsi="Arial"/>
          <w:sz w:val="20"/>
          <w:szCs w:val="20"/>
        </w:rPr>
        <w:t xml:space="preserve">Award amounts (10–30%) determined by FinCEN. No entitlement to award prior to final determination. FBI retains discretion on witness protection.</w:t>
      </w:r>
    </w:p>
    <w:p>
      <w:pPr>
        <w:spacing w:after="120" w:before="200"/>
      </w:pPr>
      <w:r>
        <w:rPr>
          <w:rFonts w:ascii="Arial" w:cs="Arial" w:eastAsia="Arial" w:hAnsi="Arial"/>
          <w:b/>
          <w:bCs/>
          <w:color w:val="4A5568"/>
          <w:sz w:val="22"/>
          <w:szCs w:val="22"/>
        </w:rPr>
        <w:t xml:space="preserve">Evidentiary Basis</w:t>
      </w:r>
    </w:p>
    <w:p>
      <w:pPr>
        <w:pStyle w:val="ListParagraph"/>
        <w:numPr>
          <w:ilvl w:val="0"/>
          <w:numId w:val="13"/>
        </w:numPr>
        <w:spacing w:after="80" w:line="276"/>
      </w:pPr>
      <w:r>
        <w:rPr>
          <w:rFonts w:ascii="Arial" w:cs="Arial" w:eastAsia="Arial" w:hAnsi="Arial"/>
          <w:sz w:val="22"/>
          <w:szCs w:val="22"/>
        </w:rPr>
        <w:t xml:space="preserve">Established: statutory framework [Tier 1].</w:t>
      </w:r>
    </w:p>
    <w:p>
      <w:pPr>
        <w:pStyle w:val="ListParagraph"/>
        <w:numPr>
          <w:ilvl w:val="0"/>
          <w:numId w:val="13"/>
        </w:numPr>
        <w:spacing w:after="80" w:line="276"/>
      </w:pPr>
      <w:r>
        <w:rPr>
          <w:rFonts w:ascii="Arial" w:cs="Arial" w:eastAsia="Arial" w:hAnsi="Arial"/>
          <w:sz w:val="22"/>
          <w:szCs w:val="22"/>
        </w:rPr>
        <w:t xml:space="preserve">Not established: effectiveness of outreach in Middle Eastern hawala network contexts. Cultural and security barriers to participation not characterized in available reporting. Effectiveness estimates analytically inferred from non-analogous IRS/SEC programs [Tier 2].</w:t>
      </w:r>
    </w:p>
    <w:p>
      <w:pPr>
        <w:spacing w:after="120" w:before="200"/>
      </w:pPr>
      <w:r>
        <w:rPr>
          <w:rFonts w:ascii="Arial" w:cs="Arial" w:eastAsia="Arial" w:hAnsi="Arial"/>
          <w:b/>
          <w:bCs/>
          <w:color w:val="4A5568"/>
          <w:sz w:val="22"/>
          <w:szCs w:val="22"/>
        </w:rPr>
        <w:t xml:space="preserve">Operational Effect</w:t>
      </w:r>
    </w:p>
    <w:p>
      <w:pPr>
        <w:spacing w:after="120" w:line="276"/>
      </w:pPr>
      <w:r>
        <w:rPr>
          <w:rFonts w:ascii="Arial" w:cs="Arial" w:eastAsia="Arial" w:hAnsi="Arial"/>
          <w:sz w:val="22"/>
          <w:szCs w:val="22"/>
        </w:rPr>
        <w:t xml:space="preserve">If effective, the program may generate actionable intelligence and degrade operational trust within TF financial networks. Principal uncertainty concerns program effectiveness in conflict-affected jurisdictions, not legal risk to the U.S. government.</w:t>
      </w:r>
    </w:p>
    <w:p>
      <w:pPr>
        <w:pStyle w:val="Heading2"/>
        <w:spacing w:after="160" w:before="280"/>
      </w:pPr>
      <w:r>
        <w:rPr>
          <w:rFonts w:ascii="Arial" w:cs="Arial" w:eastAsia="Arial" w:hAnsi="Arial"/>
          <w:b/>
          <w:bCs/>
          <w:color w:val="1B2A4A"/>
          <w:sz w:val="24"/>
          <w:szCs w:val="24"/>
        </w:rPr>
        <w:t xml:space="preserve">5.4 Asset Substitution</w:t>
      </w:r>
    </w:p>
    <w:p>
      <w:pPr>
        <w:spacing w:after="120" w:before="200"/>
      </w:pPr>
      <w:r>
        <w:rPr>
          <w:rFonts w:ascii="Arial" w:cs="Arial" w:eastAsia="Arial" w:hAnsi="Arial"/>
          <w:b/>
          <w:bCs/>
          <w:color w:val="4A5568"/>
          <w:sz w:val="22"/>
          <w:szCs w:val="22"/>
        </w:rPr>
        <w:t xml:space="preserve">Authority</w:t>
      </w:r>
    </w:p>
    <w:p>
      <w:pPr>
        <w:spacing w:after="120" w:line="276"/>
      </w:pPr>
      <w:r>
        <w:rPr>
          <w:rFonts w:ascii="Arial" w:cs="Arial" w:eastAsia="Arial" w:hAnsi="Arial"/>
          <w:sz w:val="22"/>
          <w:szCs w:val="22"/>
        </w:rPr>
        <w:t xml:space="preserve">18 U.S.C. § 981(k). Civil/criminal forfeiture under §§ 981–982.</w:t>
      </w:r>
    </w:p>
    <w:p>
      <w:pPr>
        <w:spacing w:after="120" w:before="200"/>
      </w:pPr>
      <w:r>
        <w:rPr>
          <w:rFonts w:ascii="Arial" w:cs="Arial" w:eastAsia="Arial" w:hAnsi="Arial"/>
          <w:b/>
          <w:bCs/>
          <w:color w:val="4A5568"/>
          <w:sz w:val="22"/>
          <w:szCs w:val="22"/>
        </w:rPr>
        <w:t xml:space="preserve">Threshold Showing</w:t>
      </w:r>
    </w:p>
    <w:p>
      <w:pPr>
        <w:pStyle w:val="ListParagraph"/>
        <w:numPr>
          <w:ilvl w:val="0"/>
          <w:numId w:val="14"/>
        </w:numPr>
        <w:spacing w:after="80" w:line="276"/>
      </w:pPr>
      <w:r>
        <w:rPr>
          <w:rFonts w:ascii="Arial" w:cs="Arial" w:eastAsia="Arial" w:hAnsi="Arial"/>
          <w:sz w:val="22"/>
          <w:szCs w:val="22"/>
        </w:rPr>
        <w:t xml:space="preserve">Proof that the foreign bank holds proceeds of specified unlawful activity.</w:t>
      </w:r>
    </w:p>
    <w:p>
      <w:pPr>
        <w:pStyle w:val="ListParagraph"/>
        <w:numPr>
          <w:ilvl w:val="0"/>
          <w:numId w:val="14"/>
        </w:numPr>
        <w:spacing w:after="80" w:line="276"/>
      </w:pPr>
      <w:r>
        <w:rPr>
          <w:rFonts w:ascii="Arial" w:cs="Arial" w:eastAsia="Arial" w:hAnsi="Arial"/>
          <w:sz w:val="22"/>
          <w:szCs w:val="22"/>
        </w:rPr>
        <w:t xml:space="preserve">Proof of U.S. correspondent account.</w:t>
      </w:r>
    </w:p>
    <w:p>
      <w:pPr>
        <w:pStyle w:val="ListParagraph"/>
        <w:numPr>
          <w:ilvl w:val="0"/>
          <w:numId w:val="14"/>
        </w:numPr>
        <w:spacing w:after="80" w:line="276"/>
      </w:pPr>
      <w:r>
        <w:rPr>
          <w:rFonts w:ascii="Arial" w:cs="Arial" w:eastAsia="Arial" w:hAnsi="Arial"/>
          <w:sz w:val="22"/>
          <w:szCs w:val="22"/>
        </w:rPr>
        <w:t xml:space="preserve">Sufficient nexus between illicit proceeds and correspondent balance.</w:t>
      </w:r>
    </w:p>
    <w:p>
      <w:pPr>
        <w:spacing w:after="120" w:before="200"/>
      </w:pPr>
      <w:r>
        <w:rPr>
          <w:rFonts w:ascii="Arial" w:cs="Arial" w:eastAsia="Arial" w:hAnsi="Arial"/>
          <w:b/>
          <w:bCs/>
          <w:color w:val="4A5568"/>
          <w:sz w:val="22"/>
          <w:szCs w:val="22"/>
        </w:rPr>
        <w:t xml:space="preserve">Procedural Path</w:t>
      </w:r>
    </w:p>
    <w:p>
      <w:pPr>
        <w:spacing w:after="120" w:line="276"/>
      </w:pPr>
      <w:r>
        <w:rPr>
          <w:rFonts w:ascii="Arial" w:cs="Arial" w:eastAsia="Arial" w:hAnsi="Arial"/>
          <w:sz w:val="22"/>
          <w:szCs w:val="22"/>
        </w:rPr>
        <w:t xml:space="preserve">DOJ files civil forfeiture complaint. Seizure warrant or restraining order obtained. Foreign bank served through correspondent bank. Foreign bank may contest.</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DISCRETION NODE: </w:t>
      </w:r>
      <w:r>
        <w:rPr>
          <w:rFonts w:ascii="Arial" w:cs="Arial" w:eastAsia="Arial" w:hAnsi="Arial"/>
          <w:sz w:val="20"/>
          <w:szCs w:val="20"/>
        </w:rPr>
        <w:t xml:space="preserve">DOJ prosecutorial discretion governs initiation. Significant diplomatic equities require Main Justice and potentially NSC-level review.</w:t>
      </w:r>
    </w:p>
    <w:p>
      <w:pPr>
        <w:spacing w:after="120" w:before="200"/>
      </w:pPr>
      <w:r>
        <w:rPr>
          <w:rFonts w:ascii="Arial" w:cs="Arial" w:eastAsia="Arial" w:hAnsi="Arial"/>
          <w:b/>
          <w:bCs/>
          <w:color w:val="4A5568"/>
          <w:sz w:val="22"/>
          <w:szCs w:val="22"/>
        </w:rPr>
        <w:t xml:space="preserve">Principal Legal Risks</w:t>
      </w:r>
    </w:p>
    <w:p>
      <w:pPr>
        <w:pStyle w:val="ListParagraph"/>
        <w:numPr>
          <w:ilvl w:val="0"/>
          <w:numId w:val="15"/>
        </w:numPr>
        <w:spacing w:after="80" w:line="276"/>
      </w:pPr>
      <w:r>
        <w:rPr>
          <w:rFonts w:ascii="Arial" w:cs="Arial" w:eastAsia="Arial" w:hAnsi="Arial"/>
          <w:sz w:val="22"/>
          <w:szCs w:val="22"/>
        </w:rPr>
        <w:t xml:space="preserve">Sovereign immunity: FSIA commercial activity exception (§ 1605(a)(2)) likely applies but must be established.</w:t>
      </w:r>
    </w:p>
    <w:p>
      <w:pPr>
        <w:pStyle w:val="ListParagraph"/>
        <w:numPr>
          <w:ilvl w:val="0"/>
          <w:numId w:val="15"/>
        </w:numPr>
        <w:spacing w:after="80" w:line="276"/>
      </w:pPr>
      <w:r>
        <w:rPr>
          <w:rFonts w:ascii="Arial" w:cs="Arial" w:eastAsia="Arial" w:hAnsi="Arial"/>
          <w:sz w:val="22"/>
          <w:szCs w:val="22"/>
        </w:rPr>
        <w:t xml:space="preserve">Due process: adequate notice and opportunity to be heard.</w:t>
      </w:r>
    </w:p>
    <w:p>
      <w:pPr>
        <w:pStyle w:val="ListParagraph"/>
        <w:numPr>
          <w:ilvl w:val="0"/>
          <w:numId w:val="15"/>
        </w:numPr>
        <w:spacing w:after="80" w:line="276"/>
      </w:pPr>
      <w:r>
        <w:rPr>
          <w:rFonts w:ascii="Arial" w:cs="Arial" w:eastAsia="Arial" w:hAnsi="Arial"/>
          <w:sz w:val="22"/>
          <w:szCs w:val="22"/>
        </w:rPr>
        <w:t xml:space="preserve">Proportionality: seizure amount must bear reasonable relationship to identified illicit proceeds.</w:t>
      </w:r>
    </w:p>
    <w:p>
      <w:pPr>
        <w:spacing w:after="120" w:before="200"/>
      </w:pPr>
      <w:r>
        <w:rPr>
          <w:rFonts w:ascii="Arial" w:cs="Arial" w:eastAsia="Arial" w:hAnsi="Arial"/>
          <w:b/>
          <w:bCs/>
          <w:color w:val="4A5568"/>
          <w:sz w:val="22"/>
          <w:szCs w:val="22"/>
        </w:rPr>
        <w:t xml:space="preserve">Operational Effect</w:t>
      </w:r>
    </w:p>
    <w:p>
      <w:pPr>
        <w:spacing w:after="120" w:line="276"/>
      </w:pPr>
      <w:r>
        <w:rPr>
          <w:rFonts w:ascii="Arial" w:cs="Arial" w:eastAsia="Arial" w:hAnsi="Arial"/>
          <w:sz w:val="22"/>
          <w:szCs w:val="22"/>
        </w:rPr>
        <w:t xml:space="preserve">If sustained, § 981(k) presents foreign banks with a compliance choice between U.S. correspondent access and continued facilitation. Precedent: $2.8B USVSST distribution, January 2026 [Tier 1].</w:t>
      </w:r>
    </w:p>
    <w:p>
      <w:pPr>
        <w:pStyle w:val="Heading2"/>
        <w:spacing w:after="160" w:before="280"/>
      </w:pPr>
      <w:r>
        <w:rPr>
          <w:rFonts w:ascii="Arial" w:cs="Arial" w:eastAsia="Arial" w:hAnsi="Arial"/>
          <w:b/>
          <w:bCs/>
          <w:color w:val="1B2A4A"/>
          <w:sz w:val="24"/>
          <w:szCs w:val="24"/>
        </w:rPr>
        <w:t xml:space="preserve">5.5 Decision Authority and Discretion</w:t>
      </w:r>
    </w:p>
    <w:p>
      <w:pPr>
        <w:pStyle w:val="ListParagraph"/>
        <w:numPr>
          <w:ilvl w:val="0"/>
          <w:numId w:val="16"/>
        </w:numPr>
        <w:spacing w:after="80" w:line="276"/>
      </w:pPr>
      <w:r>
        <w:rPr>
          <w:rFonts w:ascii="Arial" w:cs="Arial" w:eastAsia="Arial" w:hAnsi="Arial"/>
          <w:sz w:val="22"/>
          <w:szCs w:val="22"/>
        </w:rPr>
        <w:t xml:space="preserve">FinCEN: discretion to initiate § 5318A finding and special measures.</w:t>
      </w:r>
    </w:p>
    <w:p>
      <w:pPr>
        <w:pStyle w:val="ListParagraph"/>
        <w:numPr>
          <w:ilvl w:val="0"/>
          <w:numId w:val="16"/>
        </w:numPr>
        <w:spacing w:after="80" w:line="276"/>
      </w:pPr>
      <w:r>
        <w:rPr>
          <w:rFonts w:ascii="Arial" w:cs="Arial" w:eastAsia="Arial" w:hAnsi="Arial"/>
          <w:sz w:val="22"/>
          <w:szCs w:val="22"/>
        </w:rPr>
        <w:t xml:space="preserve">OFAC: designation discretion under E.O. 13224 and related authorities.</w:t>
      </w:r>
    </w:p>
    <w:p>
      <w:pPr>
        <w:pStyle w:val="ListParagraph"/>
        <w:numPr>
          <w:ilvl w:val="0"/>
          <w:numId w:val="16"/>
        </w:numPr>
        <w:spacing w:after="80" w:line="276"/>
      </w:pPr>
      <w:r>
        <w:rPr>
          <w:rFonts w:ascii="Arial" w:cs="Arial" w:eastAsia="Arial" w:hAnsi="Arial"/>
          <w:sz w:val="22"/>
          <w:szCs w:val="22"/>
        </w:rPr>
        <w:t xml:space="preserve">DOJ (AFMLS / NSD): prosecutorial discretion for § 2339B and § 981(k) actions.</w:t>
      </w:r>
    </w:p>
    <w:p>
      <w:pPr>
        <w:pStyle w:val="ListParagraph"/>
        <w:numPr>
          <w:ilvl w:val="0"/>
          <w:numId w:val="16"/>
        </w:numPr>
        <w:spacing w:after="80" w:line="276"/>
      </w:pPr>
      <w:r>
        <w:rPr>
          <w:rFonts w:ascii="Arial" w:cs="Arial" w:eastAsia="Arial" w:hAnsi="Arial"/>
          <w:sz w:val="22"/>
          <w:szCs w:val="22"/>
        </w:rPr>
        <w:t xml:space="preserve">Treasury (TFFC): interagency coordination and escalation sequencing.</w:t>
      </w:r>
    </w:p>
    <w:p>
      <w:pPr>
        <w:pStyle w:val="ListParagraph"/>
        <w:numPr>
          <w:ilvl w:val="0"/>
          <w:numId w:val="16"/>
        </w:numPr>
        <w:spacing w:after="80" w:line="276"/>
      </w:pPr>
      <w:r>
        <w:rPr>
          <w:rFonts w:ascii="Arial" w:cs="Arial" w:eastAsia="Arial" w:hAnsi="Arial"/>
          <w:sz w:val="22"/>
          <w:szCs w:val="22"/>
        </w:rPr>
        <w:t xml:space="preserve">Executive Branch: policy-level escalation and diplomatic considerations.</w:t>
      </w:r>
    </w:p>
    <w:p>
      <w:pPr>
        <w:spacing w:after="120" w:line="276"/>
      </w:pPr>
      <w:r>
        <w:rPr>
          <w:rFonts w:ascii="Arial" w:cs="Arial" w:eastAsia="Arial" w:hAnsi="Arial"/>
          <w:sz w:val="22"/>
          <w:szCs w:val="22"/>
        </w:rPr>
        <w:t xml:space="preserve">None of the above authorities operate automatically; each action remains subject to evidentiary sufficiency, interagency coordination, and executive discretion.</w:t>
      </w:r>
    </w:p>
    <w:p>
      <w:pPr>
        <w:pStyle w:val="Heading1"/>
        <w:spacing w:after="200" w:before="360"/>
      </w:pPr>
      <w:r>
        <w:rPr>
          <w:rFonts w:ascii="Arial" w:cs="Arial" w:eastAsia="Arial" w:hAnsi="Arial"/>
          <w:b/>
          <w:bCs/>
          <w:color w:val="1B2A4A"/>
          <w:sz w:val="30"/>
          <w:szCs w:val="30"/>
        </w:rPr>
        <w:t xml:space="preserve">6. Cryptocurrency and Terrorist Financing</w:t>
      </w:r>
    </w:p>
    <w:p>
      <w:pPr>
        <w:pStyle w:val="Heading2"/>
        <w:spacing w:after="160" w:before="280"/>
      </w:pPr>
      <w:r>
        <w:rPr>
          <w:rFonts w:ascii="Arial" w:cs="Arial" w:eastAsia="Arial" w:hAnsi="Arial"/>
          <w:b/>
          <w:bCs/>
          <w:color w:val="1B2A4A"/>
          <w:sz w:val="24"/>
          <w:szCs w:val="24"/>
        </w:rPr>
        <w:t xml:space="preserve">6.1 Threat Assessment</w:t>
      </w:r>
    </w:p>
    <w:p>
      <w:pPr>
        <w:spacing w:after="120" w:line="276"/>
      </w:pPr>
      <w:r>
        <w:rPr>
          <w:rFonts w:ascii="Arial" w:cs="Arial" w:eastAsia="Arial" w:hAnsi="Arial"/>
          <w:sz w:val="22"/>
          <w:szCs w:val="22"/>
        </w:rPr>
        <w:t xml:space="preserve">FinCEN October 2025: $127M crypto-enabled TF in 2024 [Tier 1]. Vectors: the following distinct threat vectors, each with different volume scales, enforcement profiles, and legal frameworks.</w:t>
      </w:r>
    </w:p>
    <w:p>
      <w:pPr>
        <w:spacing w:after="120" w:before="200"/>
      </w:pPr>
      <w:r>
        <w:rPr>
          <w:rFonts w:ascii="Arial" w:cs="Arial" w:eastAsia="Arial" w:hAnsi="Arial"/>
          <w:b/>
          <w:bCs/>
          <w:color w:val="4A5568"/>
          <w:sz w:val="22"/>
          <w:szCs w:val="22"/>
        </w:rPr>
        <w:t xml:space="preserve">Small-Dollar Solicitation (Telegram/Social Media)</w:t>
      </w:r>
    </w:p>
    <w:p>
      <w:pPr>
        <w:spacing w:after="120" w:line="276"/>
      </w:pPr>
      <w:r>
        <w:rPr>
          <w:rFonts w:ascii="Arial" w:cs="Arial" w:eastAsia="Arial" w:hAnsi="Arial"/>
          <w:sz w:val="22"/>
          <w:szCs w:val="22"/>
          <w:color w:val="000000"/>
        </w:rPr>
        <w:t xml:space="preserve">High volume, low per-transaction value. Hamas and PIJ solicit cryptocurrency donations through Telegram channels. Attribution is difficult due to wallet proliferation and mixer usage. Enforcement profile: individual wallet blocking via OFAC SDN Digital Currency Address list; limited § 5318A applicability due to distributed, low-value nature.</w:t>
      </w:r>
    </w:p>
    <w:p>
      <w:pPr>
        <w:spacing w:after="120" w:before="200"/>
      </w:pPr>
      <w:r>
        <w:rPr>
          <w:rFonts w:ascii="Arial" w:cs="Arial" w:eastAsia="Arial" w:hAnsi="Arial"/>
          <w:b/>
          <w:bCs/>
          <w:color w:val="4A5568"/>
          <w:sz w:val="22"/>
          <w:szCs w:val="22"/>
        </w:rPr>
        <w:t xml:space="preserve">DeFi Liquidity Provision to Sanctioned Entities</w:t>
      </w:r>
    </w:p>
    <w:p>
      <w:pPr>
        <w:spacing w:after="120" w:line="276"/>
      </w:pPr>
      <w:r>
        <w:rPr>
          <w:rFonts w:ascii="Arial" w:cs="Arial" w:eastAsia="Arial" w:hAnsi="Arial"/>
          <w:sz w:val="22"/>
          <w:szCs w:val="22"/>
          <w:color w:val="000000"/>
        </w:rPr>
        <w:t xml:space="preserve">Technically complex, potentially high-value. Sanctioned entities provide liquidity to or draw liquidity from DeFi lending protocols and decentralized exchanges. Enforcement profile: § 5318A PMLC designation of exchanges; smart contract sanctions (OFAC designation of specific Ethereum addresses); supported by Van Loon (see § 6.3).</w:t>
      </w:r>
    </w:p>
    <w:p>
      <w:pPr>
        <w:spacing w:after="120" w:before="200"/>
      </w:pPr>
      <w:r>
        <w:rPr>
          <w:rFonts w:ascii="Arial" w:cs="Arial" w:eastAsia="Arial" w:hAnsi="Arial"/>
          <w:b/>
          <w:bCs/>
          <w:color w:val="4A5568"/>
          <w:sz w:val="22"/>
          <w:szCs w:val="22"/>
        </w:rPr>
        <w:t xml:space="preserve">Fiat-to-Crypto On-Ramps in High-Risk Jurisdictions</w:t>
      </w:r>
    </w:p>
    <w:p>
      <w:pPr>
        <w:spacing w:after="120" w:line="276"/>
      </w:pPr>
      <w:r>
        <w:rPr>
          <w:rFonts w:ascii="Arial" w:cs="Arial" w:eastAsia="Arial" w:hAnsi="Arial"/>
          <w:sz w:val="22"/>
          <w:szCs w:val="22"/>
          <w:color w:val="000000"/>
        </w:rPr>
        <w:t xml:space="preserve">Exchange-level enforcement in Lebanon, Turkey, and UAE where hawala proceeds convert to digital assets. Enforcement profile: existing PMLC authority under § 5318A(a)(1); exchange-level designation with blockchain forensic record support.</w:t>
      </w:r>
    </w:p>
    <w:p>
      <w:pPr>
        <w:pBdr>
          <w:left w:val="single" w:color="7A4000" w:sz="12" w:space="8"/>
        </w:pBdr>
        <w:shd w:val="clear" w:color="auto" w:fill="FEF3E2"/>
        <w:spacing w:after="200" w:before="200" w:line="276"/>
        <w:ind w:left="200" w:right="200"/>
      </w:pPr>
      <w:r>
        <w:rPr>
          <w:rFonts w:ascii="Arial" w:cs="Arial" w:eastAsia="Arial" w:hAnsi="Arial"/>
          <w:b/>
          <w:bCs/>
          <w:color w:val="7A4000"/>
          <w:sz w:val="20"/>
          <w:szCs w:val="20"/>
        </w:rPr>
        <w:t xml:space="preserve">NOTE: </w:t>
      </w:r>
      <w:r>
        <w:rPr>
          <w:rFonts w:ascii="Arial" w:cs="Arial" w:eastAsia="Arial" w:hAnsi="Arial"/>
          <w:sz w:val="20"/>
          <w:szCs w:val="20"/>
        </w:rPr>
        <w:t xml:space="preserve">NFT-funded propaganda operations (ISIS) may not meet the material support threshold under 18 U.S.C. § 2339B if the NFT transactions do not constitute provision of material support or resources as defined in § 2339A(b)(1). This vector should be flagged for separate legal analysis before enforcement action.</w:t>
      </w:r>
    </w:p>
    <w:p>
      <w:pPr>
        <w:pStyle w:val="Heading2"/>
        <w:spacing w:after="160" w:before="280"/>
      </w:pPr>
      <w:r>
        <w:rPr>
          <w:rFonts w:ascii="Arial" w:cs="Arial" w:eastAsia="Arial" w:hAnsi="Arial"/>
          <w:b/>
          <w:bCs/>
          <w:color w:val="1B2A4A"/>
          <w:sz w:val="24"/>
          <w:szCs w:val="24"/>
        </w:rPr>
        <w:t xml:space="preserve">6.2 Authority and Implementation</w:t>
      </w:r>
    </w:p>
    <w:p>
      <w:pPr>
        <w:spacing w:after="120" w:line="276"/>
      </w:pPr>
      <w:r>
        <w:rPr>
          <w:rFonts w:ascii="Arial" w:cs="Arial" w:eastAsia="Arial" w:hAnsi="Arial"/>
          <w:sz w:val="22"/>
          <w:szCs w:val="22"/>
        </w:rPr>
        <w:t xml:space="preserve">§ 5318A(a)(1) authorizes PMLC designation of exchanges and DeFi protocols (FinCEN-2022-001) [Tier 1]. Phased implementation: (1) exchange designation; (2) DeFi gateway targeting (&gt;material proportion of SDGT-linked transaction volume, as determined by blockchain forensic analysis); (3) § 981(k) seizure of exchange-custodied crypto; (4) § 5323 whistleblower activation; (5) smart contract sanctions (OFAC designation of Ethereum addresses). Precedent: Tornado Cash/Garantex 2024 [Tier 1].</w:t>
      </w:r>
    </w:p>
    <w:p>
      <w:pPr>
        <w:pStyle w:val="Heading2"/>
        <w:spacing w:after="160" w:before="280"/>
      </w:pPr>
      <w:r>
        <w:rPr>
          <w:rFonts w:ascii="Arial" w:cs="Arial" w:eastAsia="Arial" w:hAnsi="Arial"/>
          <w:b/>
          <w:bCs/>
          <w:color w:val="1B2A4A"/>
          <w:sz w:val="24"/>
          <w:szCs w:val="24"/>
        </w:rPr>
        <w:t xml:space="preserve">6.3 Judicial Precedent: Tornado Cash and Van Loon</w:t>
      </w:r>
    </w:p>
    <w:p>
      <w:pPr>
        <w:spacing w:after="120" w:line="276"/>
      </w:pPr>
      <w:r>
        <w:rPr>
          <w:rFonts w:ascii="Arial" w:cs="Arial" w:eastAsia="Arial" w:hAnsi="Arial"/>
          <w:sz w:val="22"/>
          <w:szCs w:val="22"/>
          <w:color w:val="000000"/>
        </w:rPr>
        <w:t xml:space="preserve">OFAC designated Tornado Cash in August 2022 as a money laundering facilitator. The Fifth Circuit in Van Loon v. Department of the Treasury (2024) upheld the designation, finding that immutable smart contracts constitute “property” blockable under IEEPA. The court’s reasoning supports the proposed DeFi gateway targeting and smart contract sanctions in this framework: if immutable smart contracts are blockable property, then OFAC designation of specific Ethereum addresses facilitating SDGT transactions rests on established judicial authority [Tier 1 — Van Loon v. Dep’t of Treasury, No. 23-50669 (5th Cir. 2024)].</w:t>
      </w:r>
    </w:p>
    <w:p>
      <w:pPr>
        <w:spacing w:after="120" w:line="276"/>
      </w:pPr>
      <w:r>
        <w:rPr>
          <w:rFonts w:ascii="Arial" w:cs="Arial" w:eastAsia="Arial" w:hAnsi="Arial"/>
          <w:sz w:val="22"/>
          <w:szCs w:val="22"/>
          <w:color w:val="000000"/>
        </w:rPr>
        <w:t xml:space="preserve">Constraints: Van Loon addresses IEEPA blocking authority, not Section 311 PMLC designation of DeFi protocols. The reasoning supports smart contract sanctions but does not directly establish authority for the broader DeFi gateway PMLC designations proposed in the phased implementation. Practitioners should note this gap in extending Van Loon to § 5318A contexts.</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RECORD REQUIREMENT: </w:t>
      </w:r>
      <w:r>
        <w:rPr>
          <w:rFonts w:ascii="Arial" w:cs="Arial" w:eastAsia="Arial" w:hAnsi="Arial"/>
          <w:sz w:val="20"/>
          <w:szCs w:val="20"/>
        </w:rPr>
        <w:t xml:space="preserve">Each crypto exchange PMLC designation requires: blockchain forensic report linking exchange volume to SDGT wallets; Chainalysis/Elliptic clustering analysis; compliance deficiency documentation; proportionality analysis.</w:t>
      </w:r>
    </w:p>
    <w:p>
      <w:pPr>
        <w:pStyle w:val="Heading1"/>
        <w:spacing w:after="200" w:before="360"/>
      </w:pPr>
      <w:r>
        <w:rPr>
          <w:rFonts w:ascii="Arial" w:cs="Arial" w:eastAsia="Arial" w:hAnsi="Arial"/>
          <w:b/>
          <w:bCs/>
          <w:color w:val="1B2A4A"/>
          <w:sz w:val="30"/>
          <w:szCs w:val="30"/>
        </w:rPr>
        <w:t xml:space="preserve">7. Enforcement Gap Closure</w:t>
      </w:r>
    </w:p>
    <w:p>
      <w:pPr>
        <w:pStyle w:val="ListParagraph"/>
        <w:numPr>
          <w:ilvl w:val="0"/>
          <w:numId w:val="17"/>
        </w:numPr>
        <w:spacing w:after="80" w:line="276"/>
      </w:pPr>
      <w:r>
        <w:rPr>
          <w:rFonts w:ascii="Arial" w:cs="Arial" w:eastAsia="Arial" w:hAnsi="Arial"/>
          <w:sz w:val="22"/>
          <w:szCs w:val="22"/>
        </w:rPr>
        <w:t xml:space="preserve">Enhanced Hawala Registry Pressure: potential executive action could include direction to Treasury to evaluate jurisdictions failing FATF-compliant hawala licensing within 180 days as PMLC under § 5318A(c)(4), subject to interagency review and proportionality analysis.</w:t>
      </w:r>
    </w:p>
    <w:p>
      <w:pPr>
        <w:pStyle w:val="ListParagraph"/>
        <w:numPr>
          <w:ilvl w:val="0"/>
          <w:numId w:val="17"/>
        </w:numPr>
        <w:spacing w:after="80" w:line="276"/>
      </w:pPr>
      <w:r>
        <w:rPr>
          <w:rFonts w:ascii="Arial" w:cs="Arial" w:eastAsia="Arial" w:hAnsi="Arial"/>
          <w:sz w:val="22"/>
          <w:szCs w:val="22"/>
        </w:rPr>
        <w:t xml:space="preserve">Notice Letter Saturation: legal warnings to exchange house operators to reduce plausible deniability defenses in subsequent investigations under § 2339B, subject to case-specific proof requirements.</w:t>
      </w:r>
    </w:p>
    <w:p>
      <w:pPr>
        <w:pStyle w:val="ListParagraph"/>
        <w:numPr>
          <w:ilvl w:val="0"/>
          <w:numId w:val="17"/>
        </w:numPr>
        <w:spacing w:after="80" w:line="276"/>
      </w:pPr>
      <w:r>
        <w:rPr>
          <w:rFonts w:ascii="Arial" w:cs="Arial" w:eastAsia="Arial" w:hAnsi="Arial"/>
          <w:sz w:val="22"/>
          <w:szCs w:val="22"/>
        </w:rPr>
        <w:t xml:space="preserve">DeFi Smart Contract Sanctions: OFAC designation of Ethereum addresses facilitating SDGT transactions. U.S. infrastructure providers (Infura, Alchemy) required to block RPC calls under § 5321(a)(1).</w:t>
      </w:r>
    </w:p>
    <w:p>
      <w:pPr>
        <w:pStyle w:val="ListParagraph"/>
        <w:numPr>
          <w:ilvl w:val="0"/>
          <w:numId w:val="17"/>
        </w:numPr>
        <w:spacing w:after="80" w:line="276"/>
      </w:pPr>
      <w:r>
        <w:rPr>
          <w:rFonts w:ascii="Arial" w:cs="Arial" w:eastAsia="Arial" w:hAnsi="Arial"/>
          <w:sz w:val="22"/>
          <w:szCs w:val="22"/>
        </w:rPr>
        <w:t xml:space="preserve">Shadow Banking Look-Through: amend 31 C.F.R. § 1010.610 for beneficial ownership requirements on foreign exchange houses. § 5321(a)(1) penalties ($65,000/violation) for non-compliance.</w:t>
      </w:r>
    </w:p>
    <w:p>
      <w:pPr>
        <w:pStyle w:val="Heading1"/>
        <w:spacing w:after="200" w:before="360"/>
      </w:pPr>
      <w:r>
        <w:rPr>
          <w:rFonts w:ascii="Arial" w:cs="Arial" w:eastAsia="Arial" w:hAnsi="Arial"/>
          <w:b/>
          <w:bCs/>
          <w:color w:val="1B2A4A"/>
          <w:sz w:val="30"/>
          <w:szCs w:val="30"/>
        </w:rPr>
        <w:t xml:space="preserve">8. Alternative Explanations and Defensive Counterarguments</w:t>
      </w:r>
    </w:p>
    <w:p>
      <w:pPr>
        <w:pStyle w:val="ListParagraph"/>
        <w:numPr>
          <w:ilvl w:val="0"/>
          <w:numId w:val="18"/>
        </w:numPr>
        <w:spacing w:after="80" w:line="276"/>
      </w:pPr>
      <w:r>
        <w:rPr>
          <w:rFonts w:ascii="Arial" w:cs="Arial" w:eastAsia="Arial" w:hAnsi="Arial"/>
          <w:sz w:val="22"/>
          <w:szCs w:val="22"/>
        </w:rPr>
        <w:t xml:space="preserve">Lawful cultural banking: hawaladars assert legitimate cultural practice serving unbanked populations. Strength: moderate for broad class designations; weaker where specific TF nexus is established.</w:t>
      </w:r>
    </w:p>
    <w:p>
      <w:pPr>
        <w:pStyle w:val="ListParagraph"/>
        <w:numPr>
          <w:ilvl w:val="0"/>
          <w:numId w:val="18"/>
        </w:numPr>
        <w:spacing w:after="80" w:line="276"/>
      </w:pPr>
      <w:r>
        <w:rPr>
          <w:rFonts w:ascii="Arial" w:cs="Arial" w:eastAsia="Arial" w:hAnsi="Arial"/>
          <w:sz w:val="22"/>
          <w:szCs w:val="22"/>
        </w:rPr>
        <w:t xml:space="preserve">Lack of specific end-user knowledge: exchange house operators claim ignorance of ultimate end-user identity. Strength: strongest absent formal notice; reduced post-notice but not eliminated.</w:t>
      </w:r>
    </w:p>
    <w:p>
      <w:pPr>
        <w:pStyle w:val="ListParagraph"/>
        <w:numPr>
          <w:ilvl w:val="0"/>
          <w:numId w:val="18"/>
        </w:numPr>
        <w:spacing w:after="80" w:line="276"/>
      </w:pPr>
      <w:r>
        <w:rPr>
          <w:rFonts w:ascii="Arial" w:cs="Arial" w:eastAsia="Arial" w:hAnsi="Arial"/>
          <w:sz w:val="22"/>
          <w:szCs w:val="22"/>
        </w:rPr>
        <w:t xml:space="preserve">Intermediary break: defendants argue independent intermediaries sever causal chain. Strength: variable, depends on supply chain documentation.</w:t>
      </w:r>
    </w:p>
    <w:p>
      <w:pPr>
        <w:pStyle w:val="ListParagraph"/>
        <w:numPr>
          <w:ilvl w:val="0"/>
          <w:numId w:val="18"/>
        </w:numPr>
        <w:spacing w:after="80" w:line="276"/>
      </w:pPr>
      <w:r>
        <w:rPr>
          <w:rFonts w:ascii="Arial" w:cs="Arial" w:eastAsia="Arial" w:hAnsi="Arial"/>
          <w:sz w:val="22"/>
          <w:szCs w:val="22"/>
        </w:rPr>
        <w:t xml:space="preserve">Crypto pseudonymity: exchanges assert inability to identify wallet beneficial owners. Response: blockchain analytics provide probabilistic attribution; willful blindness principles recognized in federal criminal jurisprudence.</w:t>
      </w:r>
    </w:p>
    <w:p>
      <w:pPr>
        <w:pStyle w:val="ListParagraph"/>
        <w:numPr>
          <w:ilvl w:val="0"/>
          <w:numId w:val="18"/>
        </w:numPr>
        <w:spacing w:after="80" w:line="276"/>
      </w:pPr>
      <w:r>
        <w:rPr>
          <w:rFonts w:ascii="Arial" w:cs="Arial" w:eastAsia="Arial" w:hAnsi="Arial"/>
          <w:sz w:val="22"/>
          <w:szCs w:val="22"/>
        </w:rPr>
        <w:t xml:space="preserve">Compliance burden disproportionality: foreign banks argue special measures impose disproportionate costs on lawful commerce. Strength: significant for broad class designations.</w:t>
      </w:r>
    </w:p>
    <w:p>
      <w:pPr>
        <w:pStyle w:val="ListParagraph"/>
        <w:numPr>
          <w:ilvl w:val="0"/>
          <w:numId w:val="18"/>
        </w:numPr>
        <w:spacing w:after="80" w:line="276"/>
      </w:pPr>
      <w:r>
        <w:rPr>
          <w:rFonts w:ascii="Arial" w:cs="Arial" w:eastAsia="Arial" w:hAnsi="Arial"/>
          <w:sz w:val="22"/>
          <w:szCs w:val="22"/>
        </w:rPr>
        <w:t xml:space="preserve">Protected humanitarian remittance: NGOs argue enforcement impedes lawful humanitarian transactions. Strength: significant—requires robust GL framework (see Section 9).</w:t>
      </w:r>
    </w:p>
    <w:p>
      <w:pPr>
        <w:pStyle w:val="ListParagraph"/>
        <w:numPr>
          <w:ilvl w:val="0"/>
          <w:numId w:val="18"/>
        </w:numPr>
        <w:spacing w:after="80" w:line="276"/>
      </w:pPr>
      <w:r>
        <w:rPr>
          <w:rFonts w:ascii="Arial" w:cs="Arial" w:eastAsia="Arial" w:hAnsi="Arial"/>
          <w:sz w:val="22"/>
          <w:szCs w:val="22"/>
        </w:rPr>
        <w:t xml:space="preserve">State-sponsored bypass: Iran provides alternative financial infrastructure (SEPAM/SPFS). Assessed as likely to partially offset conventional channel disruption.</w:t>
      </w:r>
    </w:p>
    <w:p>
      <w:pPr>
        <w:pStyle w:val="Heading1"/>
        <w:spacing w:after="200" w:before="360"/>
      </w:pPr>
      <w:r>
        <w:rPr>
          <w:rFonts w:ascii="Arial" w:cs="Arial" w:eastAsia="Arial" w:hAnsi="Arial"/>
          <w:b/>
          <w:bCs/>
          <w:color w:val="1B2A4A"/>
          <w:sz w:val="30"/>
          <w:szCs w:val="30"/>
        </w:rPr>
        <w:t xml:space="preserve">9. Humanitarian Safeguards</w:t>
      </w:r>
    </w:p>
    <w:p>
      <w:pPr>
        <w:spacing w:after="120" w:line="276"/>
      </w:pPr>
      <w:r>
        <w:rPr>
          <w:rFonts w:ascii="Arial" w:cs="Arial" w:eastAsia="Arial" w:hAnsi="Arial"/>
          <w:sz w:val="22"/>
          <w:szCs w:val="22"/>
        </w:rPr>
        <w:t xml:space="preserve">OFAC GL framework maintained: GL-D (remittances $300/quarter), GL-E (NGO humanitarian), GL-20 (Lebanon), GL-H (Iran agricultural, 31 C.F.R. § 560.530), GL-43 (COVID medical) [Tier 1]. Safe harbor provisions, expedited review (target: 95% approval within 30 days). Humanitarian impact screening is a mandatory pre-action requirement for every Section 311 designation.</w:t>
      </w:r>
    </w:p>
    <w:p>
      <w:pPr>
        <w:pStyle w:val="Heading1"/>
        <w:spacing w:after="200" w:before="360"/>
      </w:pPr>
      <w:r>
        <w:rPr>
          <w:rFonts w:ascii="Arial" w:cs="Arial" w:eastAsia="Arial" w:hAnsi="Arial"/>
          <w:b/>
          <w:bCs/>
          <w:color w:val="1B2A4A"/>
          <w:sz w:val="30"/>
          <w:szCs w:val="30"/>
        </w:rPr>
        <w:t xml:space="preserve">10. Strategic Sequencing</w:t>
      </w:r>
    </w:p>
    <w:p>
      <w:pPr>
        <w:spacing w:after="120" w:line="276"/>
      </w:pPr>
      <w:r>
        <w:rPr>
          <w:rFonts w:ascii="Arial" w:cs="Arial" w:eastAsia="Arial" w:hAnsi="Arial"/>
          <w:sz w:val="22"/>
          <w:szCs w:val="22"/>
        </w:rPr>
        <w:t xml:space="preserve">90-day cycles with discretionary decision gates at each phase:</w:t>
      </w:r>
    </w:p>
    <w:p>
      <w:pPr>
        <w:pStyle w:val="ListParagraph"/>
        <w:numPr>
          <w:ilvl w:val="0"/>
          <w:numId w:val="19"/>
        </w:numPr>
        <w:spacing w:after="80" w:line="276"/>
      </w:pPr>
      <w:r>
        <w:rPr>
          <w:rFonts w:ascii="Arial" w:cs="Arial" w:eastAsia="Arial" w:hAnsi="Arial"/>
          <w:sz w:val="22"/>
          <w:szCs w:val="22"/>
        </w:rPr>
        <w:t xml:space="preserve">Intelligence synthesis (FinCEN/DEA): SAR aggregation, blockchain analysis, whistleblower tips.</w:t>
      </w:r>
    </w:p>
    <w:p>
      <w:pPr>
        <w:pStyle w:val="ListParagraph"/>
        <w:numPr>
          <w:ilvl w:val="0"/>
          <w:numId w:val="19"/>
        </w:numPr>
        <w:spacing w:after="80" w:line="276"/>
      </w:pPr>
      <w:r>
        <w:rPr>
          <w:rFonts w:ascii="Arial" w:cs="Arial" w:eastAsia="Arial" w:hAnsi="Arial"/>
          <w:sz w:val="22"/>
          <w:szCs w:val="22"/>
        </w:rPr>
        <w:t xml:space="preserve">Notice distribution (Treasury, DOJ consultation): formal warnings to Tier-1 facilitators.</w:t>
      </w:r>
    </w:p>
    <w:p>
      <w:pPr>
        <w:pStyle w:val="ListParagraph"/>
        <w:numPr>
          <w:ilvl w:val="0"/>
          <w:numId w:val="19"/>
        </w:numPr>
        <w:spacing w:after="80" w:line="276"/>
      </w:pPr>
      <w:r>
        <w:rPr>
          <w:rFonts w:ascii="Arial" w:cs="Arial" w:eastAsia="Arial" w:hAnsi="Arial"/>
          <w:sz w:val="22"/>
          <w:szCs w:val="22"/>
        </w:rPr>
        <w:t xml:space="preserve">Record development (FinCEN Legal): administrative record for Section 311 and SDGT designations.</w:t>
      </w:r>
    </w:p>
    <w:p>
      <w:pPr>
        <w:pStyle w:val="ListParagraph"/>
        <w:numPr>
          <w:ilvl w:val="0"/>
          <w:numId w:val="19"/>
        </w:numPr>
        <w:spacing w:after="80" w:line="276"/>
      </w:pPr>
      <w:r>
        <w:rPr>
          <w:rFonts w:ascii="Arial" w:cs="Arial" w:eastAsia="Arial" w:hAnsi="Arial"/>
          <w:sz w:val="22"/>
          <w:szCs w:val="22"/>
        </w:rPr>
        <w:t xml:space="preserve">Enforcement (Secretary of Treasury / DOJ): parallel designations and § 981(k) actions, subject to interagency review.</w:t>
      </w:r>
    </w:p>
    <w:p>
      <w:pPr>
        <w:pStyle w:val="ListParagraph"/>
        <w:numPr>
          <w:ilvl w:val="0"/>
          <w:numId w:val="19"/>
        </w:numPr>
        <w:spacing w:after="80" w:line="276"/>
      </w:pPr>
      <w:r>
        <w:rPr>
          <w:rFonts w:ascii="Arial" w:cs="Arial" w:eastAsia="Arial" w:hAnsi="Arial"/>
          <w:sz w:val="22"/>
          <w:szCs w:val="22"/>
        </w:rPr>
        <w:t xml:space="preserve">Assessment (interagency): metrics evaluation and posture adjustment.</w:t>
      </w:r>
    </w:p>
    <w:p>
      <w:pPr>
        <w:pStyle w:val="Heading1"/>
        <w:spacing w:after="200" w:before="360"/>
      </w:pPr>
      <w:r>
        <w:rPr>
          <w:rFonts w:ascii="Arial" w:cs="Arial" w:eastAsia="Arial" w:hAnsi="Arial"/>
          <w:b/>
          <w:bCs/>
          <w:color w:val="1B2A4A"/>
          <w:sz w:val="30"/>
          <w:szCs w:val="30"/>
        </w:rPr>
        <w:t xml:space="preserve">11. Key Unknowns and Record Limitations</w:t>
      </w:r>
    </w:p>
    <w:p>
      <w:pPr>
        <w:pStyle w:val="ListParagraph"/>
        <w:numPr>
          <w:ilvl w:val="0"/>
          <w:numId w:val="20"/>
        </w:numPr>
        <w:spacing w:after="80" w:line="276"/>
      </w:pPr>
      <w:r>
        <w:rPr>
          <w:rFonts w:ascii="Arial" w:cs="Arial" w:eastAsia="Arial" w:hAnsi="Arial"/>
          <w:sz w:val="22"/>
          <w:szCs w:val="22"/>
        </w:rPr>
        <w:t xml:space="preserve">TF network elasticity: reconstitution speed after enforcement action.</w:t>
      </w:r>
    </w:p>
    <w:p>
      <w:pPr>
        <w:pStyle w:val="ListParagraph"/>
        <w:numPr>
          <w:ilvl w:val="0"/>
          <w:numId w:val="20"/>
        </w:numPr>
        <w:spacing w:after="80" w:line="276"/>
      </w:pPr>
      <w:r>
        <w:rPr>
          <w:rFonts w:ascii="Arial" w:cs="Arial" w:eastAsia="Arial" w:hAnsi="Arial"/>
          <w:sz w:val="22"/>
          <w:szCs w:val="22"/>
        </w:rPr>
        <w:t xml:space="preserve">Hawala class designation judicial durability: no precedent under § 5318A(a)(4)(A).</w:t>
      </w:r>
    </w:p>
    <w:p>
      <w:pPr>
        <w:pStyle w:val="ListParagraph"/>
        <w:numPr>
          <w:ilvl w:val="0"/>
          <w:numId w:val="20"/>
        </w:numPr>
        <w:spacing w:after="80" w:line="276"/>
      </w:pPr>
      <w:r>
        <w:rPr>
          <w:rFonts w:ascii="Arial" w:cs="Arial" w:eastAsia="Arial" w:hAnsi="Arial"/>
          <w:sz w:val="22"/>
          <w:szCs w:val="22"/>
        </w:rPr>
        <w:t xml:space="preserve">Crypto-TF migration speed: rate of shift to cryptocurrency in response to conventional channel disruption.</w:t>
      </w:r>
    </w:p>
    <w:p>
      <w:pPr>
        <w:pStyle w:val="ListParagraph"/>
        <w:numPr>
          <w:ilvl w:val="0"/>
          <w:numId w:val="20"/>
        </w:numPr>
        <w:spacing w:after="80" w:line="276"/>
      </w:pPr>
      <w:r>
        <w:rPr>
          <w:rFonts w:ascii="Arial" w:cs="Arial" w:eastAsia="Arial" w:hAnsi="Arial"/>
          <w:sz w:val="22"/>
          <w:szCs w:val="22"/>
        </w:rPr>
        <w:t xml:space="preserve">Whistleblower effectiveness in hawala contexts: cultural/security barriers not characterized.</w:t>
      </w:r>
    </w:p>
    <w:p>
      <w:pPr>
        <w:pStyle w:val="ListParagraph"/>
        <w:numPr>
          <w:ilvl w:val="0"/>
          <w:numId w:val="20"/>
        </w:numPr>
        <w:spacing w:after="80" w:line="276"/>
      </w:pPr>
      <w:r>
        <w:rPr>
          <w:rFonts w:ascii="Arial" w:cs="Arial" w:eastAsia="Arial" w:hAnsi="Arial"/>
          <w:sz w:val="22"/>
          <w:szCs w:val="22"/>
        </w:rPr>
        <w:t xml:space="preserve">State-sponsored bypass capacity: Iran’s ability to provide alternative infrastructure (SEPAM, central bank intermediation).</w:t>
      </w:r>
    </w:p>
    <w:p>
      <w:pPr>
        <w:pStyle w:val="Heading1"/>
        <w:spacing w:after="200" w:before="360"/>
      </w:pPr>
      <w:r>
        <w:rPr>
          <w:rFonts w:ascii="Arial" w:cs="Arial" w:eastAsia="Arial" w:hAnsi="Arial"/>
          <w:b/>
          <w:bCs/>
          <w:color w:val="1B2A4A"/>
          <w:sz w:val="30"/>
          <w:szCs w:val="30"/>
        </w:rPr>
        <w:t xml:space="preserve">12. Adversary Adaptation Model</w:t>
      </w:r>
    </w:p>
    <w:p>
      <w:pPr>
        <w:pStyle w:val="ListParagraph"/>
        <w:numPr>
          <w:ilvl w:val="0"/>
          <w:numId w:val="21"/>
        </w:numPr>
        <w:spacing w:after="80" w:line="276"/>
      </w:pPr>
      <w:r>
        <w:rPr>
          <w:rFonts w:ascii="Arial" w:cs="Arial" w:eastAsia="Arial" w:hAnsi="Arial"/>
          <w:sz w:val="22"/>
          <w:szCs w:val="22"/>
        </w:rPr>
        <w:t xml:space="preserve">Cryptocurrency pivot: TF networks likely to increase crypto utilization (DeFi, privacy coins) [Moderate Confidence — Tier 2].</w:t>
      </w:r>
    </w:p>
    <w:p>
      <w:pPr>
        <w:pStyle w:val="ListParagraph"/>
        <w:numPr>
          <w:ilvl w:val="0"/>
          <w:numId w:val="21"/>
        </w:numPr>
        <w:spacing w:after="80" w:line="276"/>
      </w:pPr>
      <w:r>
        <w:rPr>
          <w:rFonts w:ascii="Arial" w:cs="Arial" w:eastAsia="Arial" w:hAnsi="Arial"/>
          <w:sz w:val="22"/>
          <w:szCs w:val="22"/>
        </w:rPr>
        <w:t xml:space="preserve">Trade-based money laundering: invoice manipulation for value transfer.</w:t>
      </w:r>
    </w:p>
    <w:p>
      <w:pPr>
        <w:pStyle w:val="ListParagraph"/>
        <w:numPr>
          <w:ilvl w:val="0"/>
          <w:numId w:val="21"/>
        </w:numPr>
        <w:spacing w:after="80" w:line="276"/>
      </w:pPr>
      <w:r>
        <w:rPr>
          <w:rFonts w:ascii="Arial" w:cs="Arial" w:eastAsia="Arial" w:hAnsi="Arial"/>
          <w:sz w:val="22"/>
          <w:szCs w:val="22"/>
        </w:rPr>
        <w:t xml:space="preserve">State-provided bypass: Iran may expand SEPAM/SPFS alternatives.</w:t>
      </w:r>
    </w:p>
    <w:p>
      <w:pPr>
        <w:pStyle w:val="ListParagraph"/>
        <w:numPr>
          <w:ilvl w:val="0"/>
          <w:numId w:val="21"/>
        </w:numPr>
        <w:spacing w:after="80" w:line="276"/>
      </w:pPr>
      <w:r>
        <w:rPr>
          <w:rFonts w:ascii="Arial" w:cs="Arial" w:eastAsia="Arial" w:hAnsi="Arial"/>
          <w:sz w:val="22"/>
          <w:szCs w:val="22"/>
        </w:rPr>
        <w:t xml:space="preserve">Decentralized node resilience: redundant financial nodes may partially offset individual node disruption.</w:t>
      </w:r>
    </w:p>
    <w:p>
      <w:pPr>
        <w:spacing w:after="120" w:line="276"/>
      </w:pPr>
      <w:r>
        <w:rPr>
          <w:rFonts w:ascii="Arial" w:cs="Arial" w:eastAsia="Arial" w:hAnsi="Arial"/>
          <w:sz w:val="22"/>
          <w:szCs w:val="22"/>
        </w:rPr>
        <w:t xml:space="preserve">The evidence supports the judgment that sustained, multi-instrument enforcement is required to degrade network capacity faster than reconstitution. The public record does not establish specific reconstitution timelines for Hizballah or Hamas financial networks.</w:t>
      </w:r>
    </w:p>
    <w:p>
      <w:pPr>
        <w:pStyle w:val="Heading1"/>
        <w:spacing w:after="200" w:before="360"/>
      </w:pPr>
      <w:r>
        <w:rPr>
          <w:rFonts w:ascii="Arial" w:cs="Arial" w:eastAsia="Arial" w:hAnsi="Arial"/>
          <w:b/>
          <w:bCs/>
          <w:color w:val="1B2A4A"/>
          <w:sz w:val="30"/>
          <w:szCs w:val="30"/>
        </w:rPr>
        <w:t xml:space="preserve">13. Sensitivity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Best Case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Base Case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Worst Case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TF revenue degradation (36 mo.)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50–70%: Full execution, limited adaptation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30–50%: Partial execution, moderate crypto migration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15–25%: Enforcement gaps, active state bypass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Crypto-TF reduction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&gt;70%: Full DeFi/exchange enforcement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40–60%: Partial coverage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&lt;20%: Rapid mixer adaptation</w:t>
            </w:r>
          </w:p>
        </w:tc>
      </w:tr>
    </w:tbl>
    <w:p>
      <w:pPr>
        <w:spacing w:after="200" w:before="60"/>
      </w:pPr>
      <w:r>
        <w:rPr>
          <w:rFonts w:ascii="Arial" w:cs="Arial" w:eastAsia="Arial" w:hAnsi="Arial"/>
          <w:i/>
          <w:iCs/>
          <w:color w:val="4A5568"/>
          <w:sz w:val="18"/>
          <w:szCs w:val="18"/>
        </w:rPr>
        <w:t xml:space="preserve">Table 2: Sensitivity Analysis. Scenario-based extrapolations, not predictive model outputs.</w:t>
      </w:r>
    </w:p>
    <w:p>
      <w:pPr>
        <w:pStyle w:val="Heading1"/>
        <w:spacing w:after="200" w:before="360"/>
      </w:pPr>
      <w:r>
        <w:rPr>
          <w:rFonts w:ascii="Arial" w:cs="Arial" w:eastAsia="Arial" w:hAnsi="Arial"/>
          <w:b/>
          <w:bCs/>
          <w:color w:val="1B2A4A"/>
          <w:sz w:val="30"/>
          <w:szCs w:val="30"/>
        </w:rPr>
        <w:t xml:space="preserve">14. Effectiveness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Target (Base Case)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SAR volume increase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&gt;30% within 180 days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Whistleblower tips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&gt;50% increase within 1 year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TF revenue degradation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30–60% within 2 years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Humanitarian approval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&gt;95% within 30 days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Crypto-TF reduction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40–60% SDGT wallet activity within 18 months</w:t>
            </w:r>
          </w:p>
        </w:tc>
      </w:tr>
    </w:tbl>
    <w:p>
      <w:pPr>
        <w:spacing w:after="200" w:before="60"/>
      </w:pPr>
      <w:r>
        <w:rPr>
          <w:rFonts w:ascii="Arial" w:cs="Arial" w:eastAsia="Arial" w:hAnsi="Arial"/>
          <w:i/>
          <w:iCs/>
          <w:color w:val="4A5568"/>
          <w:sz w:val="18"/>
          <w:szCs w:val="18"/>
        </w:rPr>
        <w:t xml:space="preserve">Table 3: Effectiveness Metrics and Targets.</w:t>
      </w:r>
    </w:p>
    <w:p>
      <w:pPr>
        <w:pStyle w:val="Heading1"/>
        <w:spacing w:after="200" w:before="360"/>
      </w:pPr>
      <w:r>
        <w:rPr>
          <w:rFonts w:ascii="Arial" w:cs="Arial" w:eastAsia="Arial" w:hAnsi="Arial"/>
          <w:b/>
          <w:bCs/>
          <w:color w:val="1B2A4A"/>
          <w:sz w:val="30"/>
          <w:szCs w:val="30"/>
        </w:rPr>
        <w:t xml:space="preserve">15. Implementation Costs</w:t>
      </w:r>
    </w:p>
    <w:p>
      <w:pPr>
        <w:pStyle w:val="ListParagraph"/>
        <w:numPr>
          <w:ilvl w:val="0"/>
          <w:numId w:val="22"/>
        </w:numPr>
        <w:spacing w:after="80" w:line="276"/>
      </w:pPr>
      <w:r>
        <w:rPr>
          <w:rFonts w:ascii="Arial" w:cs="Arial" w:eastAsia="Arial" w:hAnsi="Arial"/>
          <w:sz w:val="22"/>
          <w:szCs w:val="22"/>
        </w:rPr>
        <w:t xml:space="preserve">FinCEN: $1.5–$2M annually [Tier 2]</w:t>
      </w:r>
    </w:p>
    <w:p>
      <w:pPr>
        <w:pStyle w:val="ListParagraph"/>
        <w:numPr>
          <w:ilvl w:val="0"/>
          <w:numId w:val="22"/>
        </w:numPr>
        <w:spacing w:after="80" w:line="276"/>
      </w:pPr>
      <w:r>
        <w:rPr>
          <w:rFonts w:ascii="Arial" w:cs="Arial" w:eastAsia="Arial" w:hAnsi="Arial"/>
          <w:sz w:val="22"/>
          <w:szCs w:val="22"/>
        </w:rPr>
        <w:t xml:space="preserve">OFAC: $800K–$1.2M annually</w:t>
      </w:r>
    </w:p>
    <w:p>
      <w:pPr>
        <w:pStyle w:val="ListParagraph"/>
        <w:numPr>
          <w:ilvl w:val="0"/>
          <w:numId w:val="22"/>
        </w:numPr>
        <w:spacing w:after="80" w:line="276"/>
      </w:pPr>
      <w:r>
        <w:rPr>
          <w:rFonts w:ascii="Arial" w:cs="Arial" w:eastAsia="Arial" w:hAnsi="Arial"/>
          <w:sz w:val="22"/>
          <w:szCs w:val="22"/>
        </w:rPr>
        <w:t xml:space="preserve">DOJ/AFMLS: $600K–$1M annually</w:t>
      </w:r>
    </w:p>
    <w:p>
      <w:pPr>
        <w:pStyle w:val="ListParagraph"/>
        <w:numPr>
          <w:ilvl w:val="0"/>
          <w:numId w:val="22"/>
        </w:numPr>
        <w:spacing w:after="80" w:line="276"/>
      </w:pPr>
      <w:r>
        <w:rPr>
          <w:rFonts w:ascii="Arial" w:cs="Arial" w:eastAsia="Arial" w:hAnsi="Arial"/>
          <w:sz w:val="22"/>
          <w:szCs w:val="22"/>
        </w:rPr>
        <w:t xml:space="preserve">Blockchain analytics: $2M one-time + $500K annual</w:t>
      </w:r>
    </w:p>
    <w:p>
      <w:pPr>
        <w:pBdr>
          <w:left w:val="single" w:color="7A4000" w:sz="12" w:space="8"/>
        </w:pBdr>
        <w:shd w:val="clear" w:color="auto" w:fill="FEF3E2"/>
        <w:spacing w:after="200" w:before="200" w:line="276"/>
        <w:ind w:left="200" w:right="200"/>
      </w:pPr>
      <w:r>
        <w:rPr>
          <w:rFonts w:ascii="Arial" w:cs="Arial" w:eastAsia="Arial" w:hAnsi="Arial"/>
          <w:b/>
          <w:bCs/>
          <w:color w:val="7A4000"/>
          <w:sz w:val="20"/>
          <w:szCs w:val="20"/>
        </w:rPr>
        <w:t xml:space="preserve">COST ESTIMATE SCOPE: </w:t>
      </w:r>
      <w:r>
        <w:rPr>
          <w:rFonts w:ascii="Arial" w:cs="Arial" w:eastAsia="Arial" w:hAnsi="Arial"/>
          <w:sz w:val="20"/>
          <w:szCs w:val="20"/>
        </w:rPr>
        <w:t xml:space="preserve">Estimates reflect direct staffing costs (GS-13/14 equivalents) only. Full program costs including overhead, interagency coordination infrastructure, litigation support, contractor services, and classified system access are not estimated and would be substantially higher. These figures are illustrative for scoping purposes, not suitable for budget justification.</w:t>
      </w:r>
    </w:p>
    <w:p>
      <w:pPr>
        <w:spacing w:after="120" w:line="276"/>
      </w:pPr>
      <w:r>
        <w:rPr>
          <w:rFonts w:ascii="Arial" w:cs="Arial" w:eastAsia="Arial" w:hAnsi="Arial"/>
          <w:sz w:val="22"/>
          <w:szCs w:val="22"/>
        </w:rPr>
        <w:t xml:space="preserve">Forfeiture returns ($2.8B USVSST, January 2026) substantially exceed administrative costs [Tier 1].</w:t>
      </w:r>
    </w:p>
    <w:p>
      <w:pPr>
        <w:pStyle w:val="Heading1"/>
        <w:spacing w:after="200" w:before="360"/>
      </w:pPr>
      <w:r>
        <w:rPr>
          <w:rFonts w:ascii="Arial" w:cs="Arial" w:eastAsia="Arial" w:hAnsi="Arial"/>
          <w:b/>
          <w:bCs/>
          <w:color w:val="1B2A4A"/>
          <w:sz w:val="30"/>
          <w:szCs w:val="30"/>
        </w:rPr>
        <w:t xml:space="preserve">16. Scope Limitations and Explicit Non-Claims</w:t>
      </w:r>
    </w:p>
    <w:p>
      <w:pPr>
        <w:numPr>
          <w:ilvl w:val="0"/>
          <w:numId w:val="1"/>
        </w:numPr>
        <w:spacing w:after="80" w:line="276"/>
      </w:pPr>
      <w:r>
        <w:rPr>
          <w:rFonts w:ascii="Arial" w:cs="Arial" w:eastAsia="Arial" w:hAnsi="Arial"/>
          <w:sz w:val="22"/>
          <w:szCs w:val="22"/>
        </w:rPr>
        <w:t xml:space="preserve">No classified sources or non-public government information used.</w:t>
      </w:r>
    </w:p>
    <w:p>
      <w:pPr>
        <w:numPr>
          <w:ilvl w:val="0"/>
          <w:numId w:val="1"/>
        </w:numPr>
        <w:spacing w:after="80" w:line="276"/>
      </w:pPr>
      <w:r>
        <w:rPr>
          <w:rFonts w:ascii="Arial" w:cs="Arial" w:eastAsia="Arial" w:hAnsi="Arial"/>
          <w:sz w:val="22"/>
          <w:szCs w:val="22"/>
        </w:rPr>
        <w:t xml:space="preserve">No access to actual SAR data; SAR references are to publicly reported aggregates.</w:t>
      </w:r>
    </w:p>
    <w:p>
      <w:pPr>
        <w:numPr>
          <w:ilvl w:val="0"/>
          <w:numId w:val="1"/>
        </w:numPr>
        <w:spacing w:after="80" w:line="276"/>
      </w:pPr>
      <w:r>
        <w:rPr>
          <w:rFonts w:ascii="Arial" w:cs="Arial" w:eastAsia="Arial" w:hAnsi="Arial"/>
          <w:sz w:val="22"/>
          <w:szCs w:val="22"/>
        </w:rPr>
        <w:t xml:space="preserve">Scenario-based estimates are not predictive models.</w:t>
      </w:r>
    </w:p>
    <w:p>
      <w:pPr>
        <w:numPr>
          <w:ilvl w:val="0"/>
          <w:numId w:val="1"/>
        </w:numPr>
        <w:spacing w:after="80" w:line="276"/>
      </w:pPr>
      <w:r>
        <w:rPr>
          <w:rFonts w:ascii="Arial" w:cs="Arial" w:eastAsia="Arial" w:hAnsi="Arial"/>
          <w:sz w:val="22"/>
          <w:szCs w:val="22"/>
        </w:rPr>
        <w:t xml:space="preserve">No humanitarian impact assessment conducted; proportionality analysis is identified as a record requirement but not performed.</w:t>
      </w:r>
    </w:p>
    <w:p>
      <w:pPr>
        <w:numPr>
          <w:ilvl w:val="0"/>
          <w:numId w:val="1"/>
        </w:numPr>
        <w:spacing w:after="80" w:line="276"/>
      </w:pPr>
      <w:r>
        <w:rPr>
          <w:rFonts w:ascii="Arial" w:cs="Arial" w:eastAsia="Arial" w:hAnsi="Arial"/>
          <w:sz w:val="22"/>
          <w:szCs w:val="22"/>
        </w:rPr>
        <w:t xml:space="preserve">No field-validated intelligence on hawala network topology or TF financial architecture.</w:t>
      </w:r>
    </w:p>
    <w:p>
      <w:pPr>
        <w:numPr>
          <w:ilvl w:val="0"/>
          <w:numId w:val="1"/>
        </w:numPr>
        <w:spacing w:after="80" w:line="276"/>
      </w:pPr>
      <w:r>
        <w:rPr>
          <w:rFonts w:ascii="Arial" w:cs="Arial" w:eastAsia="Arial" w:hAnsi="Arial"/>
          <w:sz w:val="22"/>
          <w:szCs w:val="22"/>
        </w:rPr>
        <w:t xml:space="preserve">Cost estimates are illustrative staffing-only figures, not program-level budget estimates.</w:t>
      </w:r>
    </w:p>
    <w:p>
      <w:pPr>
        <w:numPr>
          <w:ilvl w:val="0"/>
          <w:numId w:val="1"/>
        </w:numPr>
        <w:spacing w:after="80" w:line="276"/>
      </w:pPr>
      <w:r>
        <w:rPr>
          <w:rFonts w:ascii="Arial" w:cs="Arial" w:eastAsia="Arial" w:hAnsi="Arial"/>
          <w:sz w:val="22"/>
          <w:szCs w:val="22"/>
        </w:rPr>
        <w:t xml:space="preserve">Effectiveness metrics are proposed targets, not empirically derived benchmarks.</w:t>
      </w:r>
    </w:p>
    <w:p>
      <w:pPr>
        <w:numPr>
          <w:ilvl w:val="0"/>
          <w:numId w:val="1"/>
        </w:numPr>
        <w:spacing w:after="80" w:line="276"/>
      </w:pPr>
      <w:r>
        <w:rPr>
          <w:rFonts w:ascii="Arial" w:cs="Arial" w:eastAsia="Arial" w:hAnsi="Arial"/>
          <w:sz w:val="22"/>
          <w:szCs w:val="22"/>
        </w:rPr>
        <w:t xml:space="preserve">This document does not constitute legal advice, an enforcement recommendation, or the views of any government entity.</w:t>
      </w:r>
    </w:p>
    <w:p>
      <w:pPr>
        <w:numPr>
          <w:ilvl w:val="0"/>
          <w:numId w:val="1"/>
        </w:numPr>
        <w:spacing w:after="80" w:line="276"/>
      </w:pPr>
      <w:r>
        <w:rPr>
          <w:rFonts w:ascii="Arial" w:cs="Arial" w:eastAsia="Arial" w:hAnsi="Arial"/>
          <w:sz w:val="22"/>
          <w:szCs w:val="22"/>
        </w:rPr>
        <w:t xml:space="preserve">Individual enforcement actions require case-specific record development, interagency consultation, and executive authorization.</w:t>
      </w:r>
    </w:p>
    <w:p>
      <w:pPr>
        <w:pStyle w:val="Heading1"/>
        <w:spacing w:after="200" w:before="360"/>
      </w:pPr>
      <w:r>
        <w:rPr>
          <w:rFonts w:ascii="Arial" w:cs="Arial" w:eastAsia="Arial" w:hAnsi="Arial"/>
          <w:b/>
          <w:bCs/>
          <w:color w:val="1B2A4A"/>
          <w:sz w:val="30"/>
          <w:szCs w:val="30"/>
        </w:rPr>
        <w:t xml:space="preserve">17. Conclusion</w:t>
      </w:r>
    </w:p>
    <w:p>
      <w:pPr>
        <w:spacing w:after="120" w:line="276"/>
      </w:pPr>
      <w:r>
        <w:rPr>
          <w:rFonts w:ascii="Arial" w:cs="Arial" w:eastAsia="Arial" w:hAnsi="Arial"/>
          <w:sz w:val="22"/>
          <w:szCs w:val="22"/>
        </w:rPr>
        <w:t xml:space="preserve">This framework identifies legally supportable enforcement actions, the threshold showings required for each, the evidentiary basis presently available, and the principal litigation risks. The analytically novel contribution—class-based hawala designation under § 5318A(a)(4)(A)—is assessed as legally plausible but without precedent; Treasury OGC review is required before designation development.</w:t>
      </w:r>
    </w:p>
    <w:p>
      <w:pPr>
        <w:spacing w:after="120" w:line="276"/>
      </w:pPr>
      <w:r>
        <w:rPr>
          <w:rFonts w:ascii="Arial" w:cs="Arial" w:eastAsia="Arial" w:hAnsi="Arial"/>
          <w:sz w:val="22"/>
          <w:szCs w:val="22"/>
        </w:rPr>
        <w:t xml:space="preserve">This paper does not recommend specific enforcement actions. Individual actions require case-specific record development, interagency legal consultation, humanitarian impact screening, and executive authorization at appropriate decision thresholds.</w:t>
      </w:r>
    </w:p>
    <w:p>
      <w:pPr>
        <w:spacing w:after="120" w:line="276"/>
      </w:pPr>
      <w:r>
        <w:rPr>
          <w:rFonts w:ascii="Arial" w:cs="Arial" w:eastAsia="Arial" w:hAnsi="Arial"/>
          <w:sz w:val="22"/>
          <w:szCs w:val="22"/>
        </w:rPr>
        <w:t xml:space="preserve"/>
      </w:r>
    </w:p>
    <w:p>
      <w:pPr>
        <w:spacing w:after="120" w:line="276"/>
        <w:jc w:val="center"/>
        <w:rPr>
          <w:b/>
          <w:bCs/>
          <w:color w:val="1B2A4A"/>
          <w:sz w:val="20"/>
          <w:szCs w:val="20"/>
        </w:rPr>
      </w:pPr>
      <w:r>
        <w:rPr>
          <w:rFonts w:ascii="Arial" w:cs="Arial" w:eastAsia="Arial" w:hAnsi="Arial"/>
          <w:b/>
          <w:bCs/>
          <w:color w:val="1B2A4A"/>
          <w:sz w:val="20"/>
          <w:szCs w:val="20"/>
        </w:rPr>
        <w:t xml:space="preserve">END OF DOCUMENT — WP-2026-CTF-01 — APRIL 2026 — UNCLASSIFIED // OPEN SOURCE</w:t>
      </w:r>
    </w:p>
    <w:p>
      <w:pPr>
        <w:pStyle w:val="Heading1"/>
        <w:spacing w:after="200" w:before="360"/>
      </w:pPr>
      <w:r>
        <w:rPr>
          <w:rFonts w:ascii="Arial" w:cs="Arial" w:eastAsia="Arial" w:hAnsi="Arial"/>
          <w:b/>
          <w:bCs/>
          <w:color w:val="1B2A4A"/>
          <w:sz w:val="30"/>
          <w:szCs w:val="30"/>
        </w:rPr>
        <w:t xml:space="preserve">18. Series Position and Cross-References</w:t>
      </w:r>
    </w:p>
    <w:p>
      <w:pPr>
        <w:spacing w:after="120" w:line="276"/>
      </w:pPr>
      <w:r>
        <w:rPr>
          <w:rFonts w:ascii="Arial" w:cs="Arial" w:eastAsia="Arial" w:hAnsi="Arial"/>
          <w:b/>
          <w:bCs/>
          <w:sz w:val="22"/>
          <w:szCs w:val="22"/>
        </w:rPr>
        <w:t xml:space="preserve">Series designation: </w:t>
      </w:r>
      <w:r>
        <w:rPr>
          <w:rFonts w:ascii="Arial" w:cs="Arial" w:eastAsia="Arial" w:hAnsi="Arial"/>
          <w:sz w:val="22"/>
          <w:szCs w:val="22"/>
        </w:rPr>
        <w:t xml:space="preserve">WP-2026-CTF-01</w:t>
      </w:r>
    </w:p>
    <w:p>
      <w:pPr>
        <w:spacing w:after="120" w:line="276"/>
      </w:pPr>
      <w:r>
        <w:rPr>
          <w:rFonts w:ascii="Arial" w:cs="Arial" w:eastAsia="Arial" w:hAnsi="Arial"/>
          <w:b/>
          <w:bCs/>
          <w:sz w:val="22"/>
          <w:szCs w:val="22"/>
        </w:rPr>
        <w:t xml:space="preserve">Series position: </w:t>
      </w:r>
      <w:r>
        <w:rPr>
          <w:rFonts w:ascii="Arial" w:cs="Arial" w:eastAsia="Arial" w:hAnsi="Arial"/>
          <w:sz w:val="22"/>
          <w:szCs w:val="22"/>
        </w:rPr>
        <w:t xml:space="preserve">04-applied-enforcement/</w:t>
      </w:r>
    </w:p>
    <w:p>
      <w:pPr>
        <w:spacing w:after="120" w:line="276"/>
      </w:pPr>
      <w:r>
        <w:rPr>
          <w:rFonts w:ascii="Arial" w:cs="Arial" w:eastAsia="Arial" w:hAnsi="Arial"/>
          <w:b/>
          <w:bCs/>
          <w:sz w:val="22"/>
          <w:szCs w:val="22"/>
        </w:rPr>
        <w:t xml:space="preserve">Upstream: </w:t>
      </w:r>
      <w:r>
        <w:rPr>
          <w:rFonts w:ascii="Arial" w:cs="Arial" w:eastAsia="Arial" w:hAnsi="Arial"/>
          <w:sz w:val="22"/>
          <w:szCs w:val="22"/>
        </w:rPr>
        <w:t xml:space="preserve">SIEGE-01, PERSIST-01 (E.O. 13224 rail), ATTRIBUTION-01</w:t>
      </w:r>
    </w:p>
    <w:p>
      <w:pPr>
        <w:spacing w:after="120" w:line="276"/>
      </w:pPr>
      <w:r>
        <w:rPr>
          <w:rFonts w:ascii="Arial" w:cs="Arial" w:eastAsia="Arial" w:hAnsi="Arial"/>
          <w:b/>
          <w:bCs/>
          <w:sz w:val="22"/>
          <w:szCs w:val="22"/>
        </w:rPr>
        <w:t xml:space="preserve">Downstream: </w:t>
      </w:r>
      <w:r>
        <w:rPr>
          <w:rFonts w:ascii="Arial" w:cs="Arial" w:eastAsia="Arial" w:hAnsi="Arial"/>
          <w:sz w:val="22"/>
          <w:szCs w:val="22"/>
        </w:rPr>
        <w:t xml:space="preserve">SENI-01 (Hizballah/Hamas/Houthi nodes), ESCALATE-01</w:t>
      </w:r>
    </w:p>
    <w:p>
      <w:pPr>
        <w:spacing w:after="120" w:line="276"/>
      </w:pPr>
      <w:r>
        <w:rPr>
          <w:rFonts w:ascii="Arial" w:cs="Arial" w:eastAsia="Arial" w:hAnsi="Arial"/>
          <w:b/>
          <w:bCs/>
          <w:sz w:val="22"/>
          <w:szCs w:val="22"/>
        </w:rPr>
        <w:t xml:space="preserve">Companion: </w:t>
      </w:r>
      <w:r>
        <w:rPr>
          <w:rFonts w:ascii="Arial" w:cs="Arial" w:eastAsia="Arial" w:hAnsi="Arial"/>
          <w:sz w:val="22"/>
          <w:szCs w:val="22"/>
        </w:rPr>
        <w:t xml:space="preserve">CPF-02 (E.O. 13382), ARCH-03 (FTO overlay). All WP-2026 series documents are publicly available at github.com/collingeorge/WP-2026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2" w:space="1"/>
      </w:pBdr>
      <w:spacing w:before="80"/>
      <w:jc w:val="center"/>
    </w:pPr>
    <w:r>
      <w:rPr>
        <w:rFonts w:ascii="Arial" w:cs="Arial" w:eastAsia="Arial" w:hAnsi="Arial"/>
        <w:color w:val="4A5568"/>
        <w:sz w:val="18"/>
        <w:szCs w:val="18"/>
      </w:rPr>
      <w:t xml:space="preserve">WP-2026-CTF-01  •  April 2026     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spacing w:after="120"/>
    </w:pPr>
    <w:r>
      <w:rPr>
        <w:rFonts w:ascii="Arial" w:cs="Arial" w:eastAsia="Arial" w:hAnsi="Arial"/>
        <w:caps/>
        <w:color w:val="4A5568"/>
        <w:sz w:val="16"/>
        <w:szCs w:val="16"/>
      </w:rPr>
      <w:t xml:space="preserve">WP-2026-CTF-01  •  UNCLASSIFIED // OPEN SOURCE  •  CENTER FOR COMPETITIVE STATECRAFT AND STRATEGIC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20"/>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21"/>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12"/>
    <w:lvlOverride w:ilvl="0">
      <w:startOverride w:val="1"/>
    </w:lvlOverride>
  </w:num>
  <w:num w:numId="15">
    <w:abstractNumId w:val="13"/>
    <w:lvlOverride w:ilvl="0">
      <w:startOverride w:val="1"/>
    </w:lvlOverride>
  </w:num>
  <w:num w:numId="16">
    <w:abstractNumId w:val="14"/>
    <w:lvlOverride w:ilvl="0">
      <w:startOverride w:val="1"/>
    </w:lvlOverride>
  </w:num>
  <w:num w:numId="17">
    <w:abstractNumId w:val="15"/>
    <w:lvlOverride w:ilvl="0">
      <w:startOverride w:val="1"/>
    </w:lvlOverride>
  </w:num>
  <w:num w:numId="18">
    <w:abstractNumId w:val="16"/>
    <w:lvlOverride w:ilvl="0">
      <w:startOverride w:val="1"/>
    </w:lvlOverride>
  </w:num>
  <w:num w:numId="19">
    <w:abstractNumId w:val="22"/>
    <w:lvlOverride w:ilvl="0">
      <w:startOverride w:val="1"/>
    </w:lvlOverride>
  </w:num>
  <w:num w:numId="20">
    <w:abstractNumId w:val="17"/>
    <w:lvlOverride w:ilvl="0">
      <w:startOverride w:val="1"/>
    </w:lvlOverride>
  </w:num>
  <w:num w:numId="21">
    <w:abstractNumId w:val="18"/>
    <w:lvlOverride w:ilvl="0">
      <w:startOverride w:val="1"/>
    </w:lvlOverride>
  </w:num>
  <w:num w:numId="22">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2026-04-06T02:44:20.251Z</dcterms:created>
  <dcterms:modified xsi:type="dcterms:W3CDTF">2026-04-06T02:44:20.252Z</dcterms:modified>
</cp:coreProperties>
</file>

<file path=docProps/custom.xml><?xml version="1.0" encoding="utf-8"?>
<Properties xmlns="http://schemas.openxmlformats.org/officeDocument/2006/custom-properties" xmlns:vt="http://schemas.openxmlformats.org/officeDocument/2006/docPropsVTypes"/>
</file>