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before="0" w:line="276"/>
      </w:pPr>
      <w:r>
        <w:rPr>
          <w:rFonts w:ascii="Arial" w:cs="Arial" w:eastAsia="Arial" w:hAnsi="Arial"/>
          <w:b/>
          <w:bCs/>
          <w:color w:val="8B6914"/>
          <w:sz w:val="20"/>
          <w:szCs w:val="20"/>
        </w:rPr>
        <w:t>WP-2026-UNIFIED-01  |  v4.0 FINAL</w:t>
      </w:r>
    </w:p>
    <w:p>
      <w:pPr>
        <w:pBdr>
          <w:bottom w:val="single" w:color="1B2A4A" w:sz="6" w:space="8"/>
        </w:pBdr>
        <w:spacing w:after="80"/>
      </w:pPr>
      <w:r>
        <w:rPr>
          <w:rFonts w:ascii="Arial" w:cs="Arial" w:eastAsia="Arial" w:hAnsi="Arial"/>
          <w:b/>
          <w:bCs/>
          <w:color w:val="1B2A4A"/>
          <w:sz w:val="40"/>
          <w:szCs w:val="40"/>
        </w:rPr>
        <w:t xml:space="preserve">Integrated Enforcement Architecture for Transnational Illicit Network Disruption</w:t>
      </w:r>
    </w:p>
    <w:p>
      <w:pPr>
        <w:spacing w:after="400" w:before="0" w:line="276"/>
      </w:pPr>
      <w:r>
        <w:rPr>
          <w:rFonts w:ascii="Arial" w:cs="Arial" w:eastAsia="Arial" w:hAnsi="Arial"/>
          <w:color w:val="1B2A4A"/>
          <w:sz w:val="26"/>
          <w:szCs w:val="26"/>
        </w:rPr>
        <w:t xml:space="preserve">Cross-Domain Statutory Integration: Counter-Narcotics, Counter-Terrorism Financing, and Counter-Proliferation Finance</w:t>
      </w:r>
    </w:p>
    <w:p>
      <w:pPr>
        <w:spacing w:after="100" w:before="0" w:line="276"/>
      </w:pPr>
      <w:r>
        <w:rPr>
          <w:rFonts w:ascii="Arial" w:cs="Arial" w:eastAsia="Arial" w:hAnsi="Arial"/>
          <w:b/>
          <w:bCs/>
          <w:color w:val="1B2A4A"/>
          <w:sz w:val="22"/>
          <w:szCs w:val="22"/>
        </w:rPr>
        <w:t xml:space="preserve">Collin George</w:t>
      </w:r>
    </w:p>
    <w:p>
      <w:pPr>
        <w:spacing w:after="100" w:before="0" w:line="276"/>
      </w:pPr>
      <w:r>
        <w:rPr>
          <w:rFonts w:ascii="Arial" w:cs="Arial" w:eastAsia="Arial" w:hAnsi="Arial"/>
          <w:color w:val="666666"/>
          <w:sz w:val="20"/>
          <w:szCs w:val="20"/>
        </w:rPr>
        <w:t>Center for Competitive Statecraft &amp; Strategic Policy  |  collinbgeorge.com</w:t>
      </w:r>
    </w:p>
    <w:p>
      <w:pPr>
        <w:spacing w:after="600" w:before="0" w:line="276"/>
      </w:pPr>
      <w:r>
        <w:rPr>
          <w:rFonts w:ascii="Arial" w:cs="Arial" w:eastAsia="Arial" w:hAnsi="Arial"/>
          <w:color w:val="666666"/>
          <w:sz w:val="20"/>
          <w:szCs w:val="20"/>
        </w:rPr>
        <w:t xml:space="preserve">April 2026</w:t>
      </w:r>
    </w:p>
    <w:p>
      <w:pPr>
        <w:spacing w:after="200" w:before="0" w:line="276"/>
      </w:pPr>
      <w:r>
        <w:rPr>
          <w:rFonts w:ascii="Arial" w:cs="Arial" w:eastAsia="Arial" w:hAnsi="Arial"/>
          <w:b/>
          <w:bCs/>
          <w:color w:val="8B6914"/>
          <w:sz w:val="18"/>
          <w:szCs w:val="18"/>
        </w:rPr>
        <w:t xml:space="preserve">UNCLASSIFIED // OPEN SOURCE // INDEPENDENT POLICY RESEARCH</w:t>
      </w:r>
    </w:p>
    <w:p>
      <w:r>
        <w:br w:type="page"/>
      </w:r>
    </w:p>
    <w:p>
      <w:pPr>
        <w:pStyle w:val="Heading1"/>
        <w:spacing w:after="200" w:before="360"/>
      </w:pPr>
      <w:r>
        <w:rPr>
          <w:rFonts w:ascii="Arial" w:cs="Arial" w:eastAsia="Arial" w:hAnsi="Arial"/>
          <w:b/>
          <w:bCs/>
          <w:color w:val="1B2A4A"/>
          <w:sz w:val="30"/>
          <w:szCs w:val="30"/>
        </w:rPr>
        <w:t xml:space="preserve">Abstract</w:t>
      </w:r>
    </w:p>
    <w:p>
      <w:pPr>
        <w:spacing w:after="120" w:line="276"/>
      </w:pPr>
      <w:r>
        <w:rPr>
          <w:rFonts w:ascii="Arial" w:cs="Arial" w:eastAsia="Arial" w:hAnsi="Arial"/>
          <w:sz w:val="22"/>
          <w:szCs w:val="22"/>
          <w:color w:val="000000"/>
        </w:rPr>
        <w:t xml:space="preserve">This paper analyzes the legal basis for coordinated cross-domain deployment of U.S. financial enforcement authorities against transnational illicit networks sharing financial infrastructure across narcotics trafficking (ARCH-03), terrorist financing (CTF-01), and WMD proliferation finance (CPF-02) domains. The framework coordinates three universal statutory authorities—31 U.S.C. § 5318A (Section 311), 31 U.S.C. § 5323 (whistleblower incentives), and 18 U.S.C. § 981(k) (asset substitution)—with domain-specific authorities analyzed in companion papers. The novel contribution is the cross-domain integration logic: the identification of shared infrastructure nodes and the procedural requirements for coordinated designation, including the constraint that each domain-specific predicate must be independently supported in the administrative record. Key limitations include absence of precedent for cross-domain coordination at the proposed scale, analytically inferred (not empirically validated) effectiveness projections, and reliance on publicly available data only.</w:t>
      </w:r>
    </w:p>
    <w:p>
      <w:pPr>
        <w:pStyle w:val="Heading1"/>
        <w:spacing w:after="200" w:before="360"/>
      </w:pPr>
      <w:r>
        <w:rPr>
          <w:rFonts w:ascii="Arial" w:cs="Arial" w:eastAsia="Arial" w:hAnsi="Arial"/>
          <w:b/>
          <w:bCs/>
          <w:color w:val="1B2A4A"/>
          <w:sz w:val="30"/>
          <w:szCs w:val="30"/>
        </w:rPr>
        <w:t xml:space="preserve">1. Executive Summary</w:t>
      </w:r>
    </w:p>
    <w:p>
      <w:pPr>
        <w:spacing w:after="120" w:line="276"/>
      </w:pPr>
      <w:r>
        <w:rPr>
          <w:rFonts w:ascii="Arial" w:cs="Arial" w:eastAsia="Arial" w:hAnsi="Arial"/>
          <w:sz w:val="22"/>
          <w:szCs w:val="22"/>
        </w:rPr>
        <w:t xml:space="preserve">This paper analyzes the legal basis for coordinated deployment of three interlocking statutory frameworks—counter-narcotics (ARCH-03), counter-terrorism financing (CTF-01), and counter-proliferation finance (CPF-02)—against transnational illicit networks that share financial infrastructure. The analytical premise is that shadow banks, hawala networks, and shell companies in overlapping jurisdictions (UAE, Turkey, PRC, Hong Kong) facilitate transactions across all three threat domains. A single enforcement action may therefore produce cascading effects across domains if the administrative record supports cross-domain designation.</w:t>
      </w:r>
    </w:p>
    <w:p>
      <w:pPr>
        <w:spacing w:after="120" w:line="276"/>
      </w:pPr>
      <w:r>
        <w:rPr>
          <w:rFonts w:ascii="Arial" w:cs="Arial" w:eastAsia="Arial" w:hAnsi="Arial"/>
          <w:sz w:val="22"/>
          <w:szCs w:val="22"/>
        </w:rPr>
        <w:t xml:space="preserve">The framework coordinates three universal statutory authorities—31 U.S.C. § 5318A (Section 311 PMLC designation), 31 U.S.C. § 5323 (whistleblower incentives), and 18 U.S.C. § 981(k) (asset substitution)—with domain-specific authorities analyzed in the companion papers. Each proposed action is subject to agency discretion, interagency review, administrative record sufficiency, and case-specific evidentiary requirements.</w:t>
      </w:r>
    </w:p>
    <w:p>
      <w:pPr>
        <w:pStyle w:val="Heading1"/>
        <w:spacing w:after="200" w:before="360"/>
      </w:pPr>
      <w:r>
        <w:rPr>
          <w:rFonts w:ascii="Arial" w:cs="Arial" w:eastAsia="Arial" w:hAnsi="Arial"/>
          <w:b/>
          <w:bCs/>
          <w:color w:val="1B2A4A"/>
          <w:sz w:val="30"/>
          <w:szCs w:val="30"/>
        </w:rPr>
        <w:t xml:space="preserve">2. Key Judgments</w:t>
      </w:r>
    </w:p>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MODERATE-HIGH CONFIDENCE  ·  Very Likely</w:t>
            </w:r>
          </w:p>
          <w:p>
            <w:pPr>
              <w:spacing w:after="80" w:line="276"/>
            </w:pPr>
            <w:r>
              <w:rPr>
                <w:rFonts w:ascii="Arial" w:cs="Arial" w:eastAsia="Arial" w:hAnsi="Arial"/>
                <w:sz w:val="20"/>
                <w:szCs w:val="20"/>
              </w:rPr>
              <w:t xml:space="preserve">The three threat domains—fentanyl trafficking, terrorist financing, and WMD proliferation—rely on overlapping financial infrastructure in identifiable jurisdictions (UAE, Turkey, PRC, Hong Kong, Lebanon). Enforcement actions targeting shared infrastructure nodes may produce cross-domain effects, subject to case-specific record support for each designation.</w:t>
            </w:r>
          </w:p>
          <w:p>
            <w:pPr>
              <w:spacing w:after="0"/>
            </w:pPr>
            <w:r>
              <w:rPr>
                <w:rFonts w:ascii="Arial" w:cs="Arial" w:eastAsia="Arial" w:hAnsi="Arial"/>
                <w:i/>
                <w:iCs/>
                <w:color w:val="4A5568"/>
                <w:sz w:val="18"/>
                <w:szCs w:val="18"/>
              </w:rPr>
              <w:t xml:space="preserve">Basis: Tier 1 FinCEN October 2025 analysis ($9B Iranian shadow banking); OFAC enforcement actions (2024–2025); DEA/INCSR cartel financial network assessments. Consistent with documented financial intelligence showing multi-threat facilitation by common intermediaries.</w:t>
            </w:r>
          </w:p>
          <w:p>
            <w:pPr>
              <w:spacing w:after="120" w:line="276"/>
            </w:pPr>
            <w:r>
              <w:rPr>
                <w:rFonts w:ascii="Arial" w:cs="Arial" w:eastAsia="Arial" w:hAnsi="Arial"/>
                <w:sz w:val="18"/>
                <w:szCs w:val="18"/>
                <w:color w:val="4A5568"/>
              </w:rPr>
              <w:t xml:space="preserve">Tier Key: Tier 1 = Primary government source, official reporting, or enacted statutory authority. Tier 2 = Analytically inferred from corroborated reporting, private-sector data, or scenario-based assessment.</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Likely</w:t>
            </w:r>
          </w:p>
          <w:p>
            <w:pPr>
              <w:spacing w:after="80" w:line="276"/>
            </w:pPr>
            <w:r>
              <w:rPr>
                <w:rFonts w:ascii="Arial" w:cs="Arial" w:eastAsia="Arial" w:hAnsi="Arial"/>
                <w:sz w:val="20"/>
                <w:szCs w:val="20"/>
              </w:rPr>
              <w:t xml:space="preserve">Coordinated deployment of Section 311, § 981(k), and § 5323 authorities across domains is assessed as likely to achieve greater enforcement efficiency than siloed domain-specific approaches, assuming sufficient administrative record development for each individual action and sustained interagency coordination.</w:t>
            </w:r>
          </w:p>
          <w:p>
            <w:pPr>
              <w:spacing w:after="0"/>
            </w:pPr>
            <w:r>
              <w:rPr>
                <w:rFonts w:ascii="Arial" w:cs="Arial" w:eastAsia="Arial" w:hAnsi="Arial"/>
                <w:i/>
                <w:iCs/>
                <w:color w:val="4A5568"/>
                <w:sz w:val="18"/>
                <w:szCs w:val="18"/>
              </w:rPr>
              <w:t xml:space="preserve">Basis: Tier 1 statutory framework analysis. Tier 2 inference from historical enforcement yield data (OFAC Hizballah actions, Kingpin Act designations). Constrained by absence of precedent for formal cross-domain coordination at the scale proposed.</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LOW-MODERATE CONFIDENCE · SCENARIO-CONDITIONED  ·  Roughly Even Odds to Likely</w:t>
            </w:r>
          </w:p>
          <w:p>
            <w:pPr>
              <w:spacing w:after="80" w:line="276"/>
            </w:pPr>
            <w:r>
              <w:rPr>
                <w:rFonts w:ascii="Arial" w:cs="Arial" w:eastAsia="Arial" w:hAnsi="Arial"/>
                <w:sz w:val="20"/>
                <w:szCs w:val="20"/>
              </w:rPr>
              <w:t xml:space="preserve">Sustained implementation over 24–36 months may degrade targeted network revenue by 30–60% across domains and yield $2–$6B in asset forfeitures, contingent on enforcement persistence, adversary adaptation, interagency throughput capacity, and the adequacy of administrative records. These estimates are scenario-conditioned and reflect plausible-range extrapolation from analogous enforcement campaigns.</w:t>
            </w:r>
          </w:p>
          <w:p>
            <w:pPr>
              <w:spacing w:after="0"/>
            </w:pPr>
            <w:r>
              <w:rPr>
                <w:rFonts w:ascii="Arial" w:cs="Arial" w:eastAsia="Arial" w:hAnsi="Arial"/>
                <w:i/>
                <w:iCs/>
                <w:color w:val="4A5568"/>
                <w:sz w:val="18"/>
                <w:szCs w:val="18"/>
              </w:rPr>
              <w:t xml:space="preserve">Basis: Tier 2 analytic inference from OFAC historical yield, DEA revenue estimates, USVSST Fund $2.8B distribution (January 2026) [Tier 1]. The available reporting does not permit a firm conclusion on cross-domain enforcement multiplier effects.</w:t>
            </w:r>
          </w:p>
        </w:tc>
      </w:tr>
    </w:tbl>
    <w:p>
      <w:pPr>
        <w:spacing w:after="120" w:line="276"/>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shd w:fill="1B2A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left w:val="single" w:color="1B2A4A" w:sz="12"/>
              <w:bottom w:val="none"/>
              <w:right w:val="none"/>
            </w:tcBorders>
            <w:shd w:fill="E8EDF5" w:val="clear"/>
            <w:tcMar>
              <w:top w:type="dxa" w:w="120"/>
              <w:left w:type="dxa" w:w="200"/>
              <w:bottom w:type="dxa" w:w="120"/>
              <w:right w:type="dxa" w:w="200"/>
            </w:tcMar>
          </w:tcPr>
          <w:p>
            <w:pPr>
              <w:spacing w:after="80"/>
            </w:pPr>
            <w:r>
              <w:rPr>
                <w:rFonts w:ascii="Arial" w:cs="Arial" w:eastAsia="Arial" w:hAnsi="Arial"/>
                <w:b/>
                <w:bCs/>
                <w:color w:val="8B6914"/>
                <w:sz w:val="18"/>
                <w:szCs w:val="18"/>
              </w:rPr>
              <w:t xml:space="preserve">MODERATE CONFIDENCE · ANALYTICALLY INFERRED  ·  Likely</w:t>
            </w:r>
          </w:p>
          <w:p>
            <w:pPr>
              <w:spacing w:after="80" w:line="276"/>
            </w:pPr>
            <w:r>
              <w:rPr>
                <w:rFonts w:ascii="Arial" w:cs="Arial" w:eastAsia="Arial" w:hAnsi="Arial"/>
                <w:sz w:val="20"/>
                <w:szCs w:val="20"/>
              </w:rPr>
              <w:t xml:space="preserve">The whistleblower program (31 U.S.C. § 5323) may function as a self-funding intelligence collection mechanism if outreach is effective, generating actionable information across domains while compensation is funded from forfeiture proceeds. Program effectiveness in PRC, UAE, and Middle Eastern contexts is analytically inferred from non-analogous Western financial sector precedent.</w:t>
            </w:r>
          </w:p>
          <w:p>
            <w:pPr>
              <w:spacing w:after="0"/>
            </w:pPr>
            <w:r>
              <w:rPr>
                <w:rFonts w:ascii="Arial" w:cs="Arial" w:eastAsia="Arial" w:hAnsi="Arial"/>
                <w:i/>
                <w:iCs/>
                <w:color w:val="4A5568"/>
                <w:sz w:val="18"/>
                <w:szCs w:val="18"/>
              </w:rPr>
              <w:t xml:space="preserve">Basis: Tier 1 statutory framework. Tier 2 IRS/SEC whistleblower yield data. Constrained by absence of § 5323 precedent in target cultural/legal environments.</w:t>
            </w:r>
          </w:p>
        </w:tc>
      </w:tr>
    </w:tbl>
    <w:p>
      <w:pPr>
        <w:spacing w:after="120" w:line="276"/>
      </w:pPr>
      <w:r>
        <w:rPr>
          <w:rFonts w:ascii="Arial" w:cs="Arial" w:eastAsia="Arial" w:hAnsi="Arial"/>
          <w:sz w:val="22"/>
          <w:szCs w:val="22"/>
        </w:rPr>
        <w:t xml:space="preserve"/>
      </w:r>
    </w:p>
    <w:p>
      <w:pPr>
        <w:pStyle w:val="Heading1"/>
        <w:spacing w:after="200" w:before="360"/>
      </w:pPr>
      <w:r>
        <w:rPr>
          <w:rFonts w:ascii="Arial" w:cs="Arial" w:eastAsia="Arial" w:hAnsi="Arial"/>
          <w:b/>
          <w:bCs/>
          <w:color w:val="1B2A4A"/>
          <w:sz w:val="30"/>
          <w:szCs w:val="30"/>
        </w:rPr>
        <w:t xml:space="preserve">3. Analytic Distinctions</w:t>
      </w:r>
    </w:p>
    <w:p>
      <w:pPr>
        <w:pStyle w:val="Heading2"/>
        <w:spacing w:after="160" w:before="280"/>
      </w:pPr>
      <w:r>
        <w:rPr>
          <w:rFonts w:ascii="Arial" w:cs="Arial" w:eastAsia="Arial" w:hAnsi="Arial"/>
          <w:b/>
          <w:bCs/>
          <w:color w:val="1B2A4A"/>
          <w:sz w:val="24"/>
          <w:szCs w:val="24"/>
        </w:rPr>
        <w:t xml:space="preserve">3.1 Observed / Officially Reported</w:t>
      </w:r>
    </w:p>
    <w:p>
      <w:pPr>
        <w:pStyle w:val="ListParagraph"/>
        <w:numPr>
          <w:ilvl w:val="0"/>
          <w:numId w:val="2"/>
        </w:numPr>
        <w:spacing w:after="80" w:line="276"/>
      </w:pPr>
      <w:r>
        <w:rPr>
          <w:rFonts w:ascii="Arial" w:cs="Arial" w:eastAsia="Arial" w:hAnsi="Arial"/>
          <w:sz w:val="22"/>
          <w:szCs w:val="22"/>
        </w:rPr>
        <w:t xml:space="preserve">FinCEN October 2025: $9B Iranian shadow banking activity [Tier 1].</w:t>
      </w:r>
    </w:p>
    <w:p>
      <w:pPr>
        <w:pStyle w:val="ListParagraph"/>
        <w:numPr>
          <w:ilvl w:val="0"/>
          <w:numId w:val="2"/>
        </w:numPr>
        <w:spacing w:after="80" w:line="276"/>
      </w:pPr>
      <w:r>
        <w:rPr>
          <w:rFonts w:ascii="Arial" w:cs="Arial" w:eastAsia="Arial" w:hAnsi="Arial"/>
          <w:sz w:val="22"/>
          <w:szCs w:val="22"/>
        </w:rPr>
        <w:t xml:space="preserve">FTO designation of Sinaloa/CJNG, February 2025 [Tier 1].</w:t>
      </w:r>
    </w:p>
    <w:p>
      <w:pPr>
        <w:pStyle w:val="ListParagraph"/>
        <w:numPr>
          <w:ilvl w:val="0"/>
          <w:numId w:val="2"/>
        </w:numPr>
        <w:spacing w:after="80" w:line="276"/>
      </w:pPr>
      <w:r>
        <w:rPr>
          <w:rFonts w:ascii="Arial" w:cs="Arial" w:eastAsia="Arial" w:hAnsi="Arial"/>
          <w:sz w:val="22"/>
          <w:szCs w:val="22"/>
        </w:rPr>
        <w:t xml:space="preserve">Houthi FTO redesignation, March 5, 2025 [Tier 1].</w:t>
      </w:r>
    </w:p>
    <w:p>
      <w:pPr>
        <w:pStyle w:val="ListParagraph"/>
        <w:numPr>
          <w:ilvl w:val="0"/>
          <w:numId w:val="2"/>
        </w:numPr>
        <w:spacing w:after="80" w:line="276"/>
      </w:pPr>
      <w:r>
        <w:rPr>
          <w:rFonts w:ascii="Arial" w:cs="Arial" w:eastAsia="Arial" w:hAnsi="Arial"/>
          <w:sz w:val="22"/>
          <w:szCs w:val="22"/>
        </w:rPr>
        <w:t xml:space="preserve">FEND Off Fentanyl Act enacted (Pub. L. 117-263, § 6216) [Tier 1].</w:t>
      </w:r>
    </w:p>
    <w:p>
      <w:pPr>
        <w:pStyle w:val="ListParagraph"/>
        <w:numPr>
          <w:ilvl w:val="0"/>
          <w:numId w:val="2"/>
        </w:numPr>
        <w:spacing w:after="80" w:line="276"/>
      </w:pPr>
      <w:r>
        <w:rPr>
          <w:rFonts w:ascii="Arial" w:cs="Arial" w:eastAsia="Arial" w:hAnsi="Arial"/>
          <w:sz w:val="22"/>
          <w:szCs w:val="22"/>
        </w:rPr>
        <w:t xml:space="preserve">OFAC shadow fleet designations, October 2024–January 2026 [Tier 1].</w:t>
      </w:r>
    </w:p>
    <w:p>
      <w:pPr>
        <w:pStyle w:val="ListParagraph"/>
        <w:numPr>
          <w:ilvl w:val="0"/>
          <w:numId w:val="2"/>
        </w:numPr>
        <w:spacing w:after="80" w:line="276"/>
      </w:pPr>
      <w:r>
        <w:rPr>
          <w:rFonts w:ascii="Arial" w:cs="Arial" w:eastAsia="Arial" w:hAnsi="Arial"/>
          <w:sz w:val="22"/>
          <w:szCs w:val="22"/>
        </w:rPr>
        <w:t xml:space="preserve">BIS Entity List additions for Russia/Iran diversion, 2024–2025 [Tier 1].</w:t>
      </w:r>
    </w:p>
    <w:p>
      <w:pPr>
        <w:pStyle w:val="ListParagraph"/>
        <w:numPr>
          <w:ilvl w:val="0"/>
          <w:numId w:val="2"/>
        </w:numPr>
        <w:spacing w:after="80" w:line="276"/>
      </w:pPr>
      <w:r>
        <w:rPr>
          <w:rFonts w:ascii="Arial" w:cs="Arial" w:eastAsia="Arial" w:hAnsi="Arial"/>
          <w:sz w:val="22"/>
          <w:szCs w:val="22"/>
        </w:rPr>
        <w:t xml:space="preserve">USVSST Fund distributed $2.8B, January 2026 [Tier 1].</w:t>
      </w:r>
    </w:p>
    <w:p>
      <w:pPr>
        <w:pStyle w:val="ListParagraph"/>
        <w:numPr>
          <w:ilvl w:val="0"/>
          <w:numId w:val="2"/>
        </w:numPr>
        <w:spacing w:after="80" w:line="276"/>
      </w:pPr>
      <w:r>
        <w:rPr>
          <w:rFonts w:ascii="Arial" w:cs="Arial" w:eastAsia="Arial" w:hAnsi="Arial"/>
          <w:sz w:val="22"/>
          <w:szCs w:val="22"/>
        </w:rPr>
        <w:t xml:space="preserve">Chainalysis Q4 2025: $2.1B proliferation-linked crypto [Tier 2].</w:t>
      </w:r>
    </w:p>
    <w:p>
      <w:pPr>
        <w:pStyle w:val="ListParagraph"/>
        <w:numPr>
          <w:ilvl w:val="0"/>
          <w:numId w:val="2"/>
        </w:numPr>
        <w:spacing w:after="80" w:line="276"/>
      </w:pPr>
      <w:r>
        <w:rPr>
          <w:rFonts w:ascii="Arial" w:cs="Arial" w:eastAsia="Arial" w:hAnsi="Arial"/>
          <w:sz w:val="22"/>
          <w:szCs w:val="22"/>
        </w:rPr>
        <w:t xml:space="preserve">FinCEN October 2025: $127M crypto-enabled TF in 2024 [Tier 1].</w:t>
      </w:r>
    </w:p>
    <w:p>
      <w:pPr>
        <w:pStyle w:val="Heading2"/>
        <w:spacing w:after="160" w:before="280"/>
      </w:pPr>
      <w:r>
        <w:rPr>
          <w:rFonts w:ascii="Arial" w:cs="Arial" w:eastAsia="Arial" w:hAnsi="Arial"/>
          <w:b/>
          <w:bCs/>
          <w:color w:val="1B2A4A"/>
          <w:sz w:val="24"/>
          <w:szCs w:val="24"/>
        </w:rPr>
        <w:t xml:space="preserve">3.2 Assessment (Analytically Inferred)</w:t>
      </w:r>
    </w:p>
    <w:p>
      <w:pPr>
        <w:pStyle w:val="ListParagraph"/>
        <w:numPr>
          <w:ilvl w:val="0"/>
          <w:numId w:val="3"/>
        </w:numPr>
        <w:spacing w:after="80" w:line="276"/>
      </w:pPr>
      <w:r>
        <w:rPr>
          <w:rFonts w:ascii="Arial" w:cs="Arial" w:eastAsia="Arial" w:hAnsi="Arial"/>
          <w:sz w:val="22"/>
          <w:szCs w:val="22"/>
        </w:rPr>
        <w:t xml:space="preserve">Shadow financial infrastructure in UAE, Turkey, PRC, and Hong Kong is assessed as facilitating transactions across multiple threat domains, based on overlapping SAR patterns and enforcement action records.</w:t>
      </w:r>
    </w:p>
    <w:p>
      <w:pPr>
        <w:pStyle w:val="ListParagraph"/>
        <w:numPr>
          <w:ilvl w:val="0"/>
          <w:numId w:val="3"/>
        </w:numPr>
        <w:spacing w:after="80" w:line="276"/>
      </w:pPr>
      <w:r>
        <w:rPr>
          <w:rFonts w:ascii="Arial" w:cs="Arial" w:eastAsia="Arial" w:hAnsi="Arial"/>
          <w:sz w:val="22"/>
          <w:szCs w:val="22"/>
        </w:rPr>
        <w:t xml:space="preserve">Cross-domain enforcement coordination is assessed as likely to produce efficiency gains over siloed approaches, subject to interagency throughput constraints.</w:t>
      </w:r>
    </w:p>
    <w:p>
      <w:pPr>
        <w:pStyle w:val="ListParagraph"/>
        <w:numPr>
          <w:ilvl w:val="0"/>
          <w:numId w:val="3"/>
        </w:numPr>
        <w:spacing w:after="80" w:line="276"/>
      </w:pPr>
      <w:r>
        <w:rPr>
          <w:rFonts w:ascii="Arial" w:cs="Arial" w:eastAsia="Arial" w:hAnsi="Arial"/>
          <w:sz w:val="22"/>
          <w:szCs w:val="22"/>
        </w:rPr>
        <w:t xml:space="preserve">Enhanced notice procedures, combined with FTO designations, may strengthen the evidentiary basis for material support investigations against precursor suppliers, subject to case-specific proof requirements.</w:t>
      </w:r>
    </w:p>
    <w:p>
      <w:pPr>
        <w:pStyle w:val="Heading2"/>
        <w:spacing w:after="160" w:before="280"/>
      </w:pPr>
      <w:r>
        <w:rPr>
          <w:rFonts w:ascii="Arial" w:cs="Arial" w:eastAsia="Arial" w:hAnsi="Arial"/>
          <w:b/>
          <w:bCs/>
          <w:color w:val="1B2A4A"/>
          <w:sz w:val="24"/>
          <w:szCs w:val="24"/>
        </w:rPr>
        <w:t xml:space="preserve">3.3 Not Established</w:t>
      </w:r>
    </w:p>
    <w:p>
      <w:pPr>
        <w:pStyle w:val="ListParagraph"/>
        <w:numPr>
          <w:ilvl w:val="0"/>
          <w:numId w:val="4"/>
        </w:numPr>
        <w:spacing w:after="80" w:line="276"/>
      </w:pPr>
      <w:r>
        <w:rPr>
          <w:rFonts w:ascii="Arial" w:cs="Arial" w:eastAsia="Arial" w:hAnsi="Arial"/>
          <w:sz w:val="22"/>
          <w:szCs w:val="22"/>
        </w:rPr>
        <w:t xml:space="preserve">Cross-domain enforcement multiplier effect magnitude (no precedent for coordinated deployment at proposed scale).</w:t>
      </w:r>
    </w:p>
    <w:p>
      <w:pPr>
        <w:pStyle w:val="ListParagraph"/>
        <w:numPr>
          <w:ilvl w:val="0"/>
          <w:numId w:val="4"/>
        </w:numPr>
        <w:spacing w:after="80" w:line="276"/>
      </w:pPr>
      <w:r>
        <w:rPr>
          <w:rFonts w:ascii="Arial" w:cs="Arial" w:eastAsia="Arial" w:hAnsi="Arial"/>
          <w:sz w:val="22"/>
          <w:szCs w:val="22"/>
        </w:rPr>
        <w:t xml:space="preserve">Interagency throughput capacity for simultaneous multi-domain enforcement (see ESCALATE-01).</w:t>
      </w:r>
    </w:p>
    <w:p>
      <w:pPr>
        <w:pStyle w:val="ListParagraph"/>
        <w:numPr>
          <w:ilvl w:val="0"/>
          <w:numId w:val="4"/>
        </w:numPr>
        <w:spacing w:after="80" w:line="276"/>
      </w:pPr>
      <w:r>
        <w:rPr>
          <w:rFonts w:ascii="Arial" w:cs="Arial" w:eastAsia="Arial" w:hAnsi="Arial"/>
          <w:sz w:val="22"/>
          <w:szCs w:val="22"/>
        </w:rPr>
        <w:t xml:space="preserve">Adversary adaptation speed across domains when facing coordinated pressure.</w:t>
      </w:r>
    </w:p>
    <w:p>
      <w:pPr>
        <w:pStyle w:val="ListParagraph"/>
        <w:numPr>
          <w:ilvl w:val="0"/>
          <w:numId w:val="4"/>
        </w:numPr>
        <w:spacing w:after="80" w:line="276"/>
      </w:pPr>
      <w:r>
        <w:rPr>
          <w:rFonts w:ascii="Arial" w:cs="Arial" w:eastAsia="Arial" w:hAnsi="Arial"/>
          <w:sz w:val="22"/>
          <w:szCs w:val="22"/>
        </w:rPr>
        <w:t xml:space="preserve">Prosecutorial viability of any individual case (requires DOJ discretion and case-specific record).</w:t>
      </w:r>
    </w:p>
    <w:p>
      <w:pPr>
        <w:pStyle w:val="Heading1"/>
        <w:spacing w:after="200" w:before="360"/>
      </w:pPr>
      <w:r>
        <w:rPr>
          <w:rFonts w:ascii="Arial" w:cs="Arial" w:eastAsia="Arial" w:hAnsi="Arial"/>
          <w:b/>
          <w:bCs/>
          <w:color w:val="1B2A4A"/>
          <w:sz w:val="30"/>
          <w:szCs w:val="30"/>
        </w:rPr>
        <w:t xml:space="preserve">4. Institutional Recommendation Posture</w:t>
      </w:r>
    </w:p>
    <w:p>
      <w:pPr>
        <w:pBdr>
          <w:left w:val="single" w:color="1A5C2E" w:sz="12" w:space="8"/>
        </w:pBdr>
        <w:shd w:fill="EAF4EC" w:val="clear"/>
        <w:spacing w:after="200" w:before="200" w:line="276"/>
        <w:ind w:left="200" w:right="200"/>
      </w:pPr>
      <w:r>
        <w:rPr>
          <w:rFonts w:ascii="Arial" w:cs="Arial" w:eastAsia="Arial" w:hAnsi="Arial"/>
          <w:b/>
          <w:bCs/>
          <w:color w:val="1A5C2E"/>
          <w:sz w:val="20"/>
          <w:szCs w:val="20"/>
        </w:rPr>
        <w:t xml:space="preserve">DOCUMENT STATUS: </w:t>
      </w:r>
      <w:r>
        <w:rPr>
          <w:rFonts w:ascii="Arial" w:cs="Arial" w:eastAsia="Arial" w:hAnsi="Arial"/>
          <w:sz w:val="20"/>
          <w:szCs w:val="20"/>
        </w:rPr>
        <w:t xml:space="preserve">This paper is suitable for legal-policy assessment and exploratory enforcement architecture review. It does not constitute a recommendation for specific enforcement action or a directive to any agency. Individual enforcement actions within any domain require: (1) case-specific administrative record development by the cognizant agency; (2) interagency legal consultation (Treasury OGC, DOJ/AFMLS, FinCEN Legal Division, State Department Legal Adviser as appropriate); (3) humanitarian impact screening; (4) executive-level authorization at appropriate decision thresholds. Cross-domain coordination requires interagency working group establishment with Treasury TFFC, DOJ/NSD, State/CT, and IC representation. Classified supplementation may be required for actions relying on intelligence-derived attribution.</w:t>
      </w:r>
    </w:p>
    <w:p>
      <w:pPr>
        <w:pStyle w:val="Heading1"/>
        <w:spacing w:after="200" w:before="360"/>
      </w:pPr>
      <w:r>
        <w:rPr>
          <w:rFonts w:ascii="Arial" w:cs="Arial" w:eastAsia="Arial" w:hAnsi="Arial"/>
          <w:b/>
          <w:bCs/>
          <w:color w:val="1B2A4A"/>
          <w:sz w:val="30"/>
          <w:szCs w:val="30"/>
        </w:rPr>
        <w:t xml:space="preserve">5. Document Architecture and Cross-Domain Integration</w:t>
      </w:r>
    </w:p>
    <w:p>
      <w:pPr>
        <w:spacing w:after="120" w:line="276"/>
      </w:pPr>
      <w:r>
        <w:rPr>
          <w:rFonts w:ascii="Arial" w:cs="Arial" w:eastAsia="Arial" w:hAnsi="Arial"/>
          <w:sz w:val="22"/>
          <w:szCs w:val="22"/>
        </w:rPr>
        <w:t xml:space="preserve">This framework comprises four documents designed for modular deployment. Each companion paper operates independently within its statutory domain; UNIFIED-01 provides the integration logic for cross-domain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60"/>
        <w:gridCol w:w="28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Primary Domain</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Core Contribution</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Statutory Foundation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UNIFIED-01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Cross-Domain Integration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Shared infrastructure analysis; coordinated sequencing; interagency architecture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31 U.S.C. §§ 5318A, 5323; 18 U.S.C. § 981(k)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ARCH-03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Fentanyl / Cartels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Enhanced notice procedures; FTO-based material support liability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FEND Off Fentanyl Act; 18 U.S.C. § 2339B</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CTF-01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Terrorist Financing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Class-based transaction designation; hawala corridor disruption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E.O. 13224; § 5318A(a)(4)(A)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CPF-02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WMD Proliferation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Registry-level maritime enforcement; secondary sanctions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E.O. 13382; CAATSA/CISADA/NKSPEA</w:t>
            </w:r>
          </w:p>
        </w:tc>
      </w:tr>
    </w:tbl>
    <w:p>
      <w:pPr>
        <w:spacing w:after="200" w:before="60"/>
      </w:pPr>
      <w:r>
        <w:rPr>
          <w:rFonts w:ascii="Arial" w:cs="Arial" w:eastAsia="Arial" w:hAnsi="Arial"/>
          <w:i/>
          <w:iCs/>
          <w:color w:val="4A5568"/>
          <w:sz w:val="18"/>
          <w:szCs w:val="18"/>
        </w:rPr>
        <w:t xml:space="preserve">Table 1: Document Architecture.</w:t>
      </w:r>
    </w:p>
    <w:p>
      <w:pPr>
        <w:pStyle w:val="Heading1"/>
        <w:spacing w:after="200" w:before="360"/>
      </w:pPr>
      <w:r>
        <w:rPr>
          <w:rFonts w:ascii="Arial" w:cs="Arial" w:eastAsia="Arial" w:hAnsi="Arial"/>
          <w:b/>
          <w:bCs/>
          <w:color w:val="1B2A4A"/>
          <w:sz w:val="30"/>
          <w:szCs w:val="30"/>
        </w:rPr>
        <w:t xml:space="preserve">6. Universal Statutory Authorities</w:t>
      </w:r>
    </w:p>
    <w:p>
      <w:pPr>
        <w:spacing w:after="120" w:line="276"/>
      </w:pPr>
      <w:r>
        <w:rPr>
          <w:rFonts w:ascii="Arial" w:cs="Arial" w:eastAsia="Arial" w:hAnsi="Arial"/>
          <w:sz w:val="22"/>
          <w:szCs w:val="22"/>
        </w:rPr>
        <w:t xml:space="preserve">Three statutory authorities apply across all domains. Each is presented in six-part format.</w:t>
      </w:r>
    </w:p>
    <w:p>
      <w:pPr>
        <w:pStyle w:val="Heading2"/>
        <w:spacing w:after="160" w:before="280"/>
      </w:pPr>
      <w:r>
        <w:rPr>
          <w:rFonts w:ascii="Arial" w:cs="Arial" w:eastAsia="Arial" w:hAnsi="Arial"/>
          <w:b/>
          <w:bCs/>
          <w:color w:val="1B2A4A"/>
          <w:sz w:val="24"/>
          <w:szCs w:val="24"/>
        </w:rPr>
        <w:t xml:space="preserve">6.1 Section 311 PMLC Designation (31 U.S.C. § 5318A)</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Designation of foreign jurisdictions, institutions, or transaction classes as Primary Money Laundering Concerns. Fifth special measure (§ 5318A(b)(5)) prohibits U.S. correspondent accounts. Mandatory termination under § 5318(j)(2)–(3) for § 5318(k) subpoena non-compliance. Civil penalties: $50,000/day under § 5321(a)(1).</w:t>
      </w:r>
    </w:p>
    <w:p>
      <w:pPr>
        <w:spacing w:after="120" w:before="200"/>
      </w:pPr>
      <w:r>
        <w:rPr>
          <w:rFonts w:ascii="Arial" w:cs="Arial" w:eastAsia="Arial" w:hAnsi="Arial"/>
          <w:b/>
          <w:bCs/>
          <w:color w:val="4A5568"/>
          <w:sz w:val="22"/>
          <w:szCs w:val="22"/>
        </w:rPr>
        <w:t xml:space="preserve">Threshold Showing</w:t>
      </w:r>
    </w:p>
    <w:p>
      <w:pPr>
        <w:pStyle w:val="ListParagraph"/>
        <w:numPr>
          <w:ilvl w:val="0"/>
          <w:numId w:val="5"/>
        </w:numPr>
        <w:spacing w:after="80" w:line="276"/>
      </w:pPr>
      <w:r>
        <w:rPr>
          <w:rFonts w:ascii="Arial" w:cs="Arial" w:eastAsia="Arial" w:hAnsi="Arial"/>
          <w:sz w:val="22"/>
          <w:szCs w:val="22"/>
        </w:rPr>
        <w:t xml:space="preserve">Reasonable grounds for PMLC finding (§ 5318A(c) factors).</w:t>
      </w:r>
    </w:p>
    <w:p>
      <w:pPr>
        <w:pStyle w:val="ListParagraph"/>
        <w:numPr>
          <w:ilvl w:val="0"/>
          <w:numId w:val="5"/>
        </w:numPr>
        <w:spacing w:after="80" w:line="276"/>
      </w:pPr>
      <w:r>
        <w:rPr>
          <w:rFonts w:ascii="Arial" w:cs="Arial" w:eastAsia="Arial" w:hAnsi="Arial"/>
          <w:sz w:val="22"/>
          <w:szCs w:val="22"/>
        </w:rPr>
        <w:t xml:space="preserve">Nexus between designated entity and predicate unlawful activity (narcotics, TF, or proliferation depending on domain).</w:t>
      </w:r>
    </w:p>
    <w:p>
      <w:pPr>
        <w:pStyle w:val="ListParagraph"/>
        <w:numPr>
          <w:ilvl w:val="0"/>
          <w:numId w:val="5"/>
        </w:numPr>
        <w:spacing w:after="80" w:line="276"/>
      </w:pPr>
      <w:r>
        <w:rPr>
          <w:rFonts w:ascii="Arial" w:cs="Arial" w:eastAsia="Arial" w:hAnsi="Arial"/>
          <w:sz w:val="22"/>
          <w:szCs w:val="22"/>
        </w:rPr>
        <w:t xml:space="preserve">Proportionality of special measure to identified risk.</w:t>
      </w:r>
    </w:p>
    <w:p>
      <w:pPr>
        <w:spacing w:after="120" w:before="200"/>
      </w:pPr>
      <w:r>
        <w:rPr>
          <w:rFonts w:ascii="Arial" w:cs="Arial" w:eastAsia="Arial" w:hAnsi="Arial"/>
          <w:b/>
          <w:bCs/>
          <w:color w:val="4A5568"/>
          <w:sz w:val="22"/>
          <w:szCs w:val="22"/>
        </w:rPr>
        <w:t xml:space="preserve">Procedural Path</w:t>
      </w:r>
    </w:p>
    <w:p>
      <w:pPr>
        <w:spacing w:after="120" w:line="276"/>
      </w:pPr>
      <w:r>
        <w:rPr>
          <w:rFonts w:ascii="Arial" w:cs="Arial" w:eastAsia="Arial" w:hAnsi="Arial"/>
          <w:sz w:val="22"/>
          <w:szCs w:val="22"/>
        </w:rPr>
        <w:t xml:space="preserve">FinCEN develops administrative record → NPRM or Finding → interagency consultation (Treasury OGC, DOJ, State) → Federal Register publication. Cross-domain designations require coordination across domain-specific working groups to ensure consistent administrative records.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PMLC designation is discretionary (FinCEN Director / Secretary of Treasury). Cross-domain designations—where a single entity facilitates transactions across narcotics, TF, and proliferation—require the administrative record to support the finding independently for each predicate relied upon. A designation supported by narcotics predicate alone does not automatically extend to TF or proliferation predicates without independent evidentiary basis.</w:t>
      </w:r>
    </w:p>
    <w:p>
      <w:pPr>
        <w:spacing w:after="120" w:before="200"/>
      </w:pPr>
      <w:r>
        <w:rPr>
          <w:rFonts w:ascii="Arial" w:cs="Arial" w:eastAsia="Arial" w:hAnsi="Arial"/>
          <w:b/>
          <w:bCs/>
          <w:color w:val="4A5568"/>
          <w:sz w:val="22"/>
          <w:szCs w:val="22"/>
        </w:rPr>
        <w:t xml:space="preserve">Cross-Domain Application</w:t>
      </w:r>
    </w:p>
    <w:p>
      <w:pPr>
        <w:pStyle w:val="ListParagraph"/>
        <w:numPr>
          <w:ilvl w:val="0"/>
          <w:numId w:val="6"/>
        </w:numPr>
        <w:spacing w:after="80" w:line="276"/>
      </w:pPr>
      <w:r>
        <w:rPr>
          <w:rFonts w:ascii="Arial" w:cs="Arial" w:eastAsia="Arial" w:hAnsi="Arial"/>
          <w:sz w:val="22"/>
          <w:szCs w:val="22"/>
        </w:rPr>
        <w:t xml:space="preserve">ARCH-03: PRC banks facilitating precursor payments (FEND Off Fentanyl predicate).</w:t>
      </w:r>
    </w:p>
    <w:p>
      <w:pPr>
        <w:pStyle w:val="ListParagraph"/>
        <w:numPr>
          <w:ilvl w:val="0"/>
          <w:numId w:val="6"/>
        </w:numPr>
        <w:spacing w:after="80" w:line="276"/>
      </w:pPr>
      <w:r>
        <w:rPr>
          <w:rFonts w:ascii="Arial" w:cs="Arial" w:eastAsia="Arial" w:hAnsi="Arial"/>
          <w:sz w:val="22"/>
          <w:szCs w:val="22"/>
        </w:rPr>
        <w:t xml:space="preserve">CTF-01: hawala corridors and exchange houses facilitating SDGT transactions (E.O. 13224/§ 2339B predicate).</w:t>
      </w:r>
    </w:p>
    <w:p>
      <w:pPr>
        <w:pStyle w:val="ListParagraph"/>
        <w:numPr>
          <w:ilvl w:val="0"/>
          <w:numId w:val="6"/>
        </w:numPr>
        <w:spacing w:after="80" w:line="276"/>
      </w:pPr>
      <w:r>
        <w:rPr>
          <w:rFonts w:ascii="Arial" w:cs="Arial" w:eastAsia="Arial" w:hAnsi="Arial"/>
          <w:sz w:val="22"/>
          <w:szCs w:val="22"/>
        </w:rPr>
        <w:t xml:space="preserve">CPF-02: Russian shadow banking hubs processing proliferation funds (E.O. 13382 predicate).</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7"/>
        </w:numPr>
        <w:spacing w:after="80" w:line="276"/>
      </w:pPr>
      <w:r>
        <w:rPr>
          <w:rFonts w:ascii="Arial" w:cs="Arial" w:eastAsia="Arial" w:hAnsi="Arial"/>
          <w:sz w:val="22"/>
          <w:szCs w:val="22"/>
        </w:rPr>
        <w:t xml:space="preserve">APA challenge: each predicate must be independently supported in the administrative record; bundling predicates without independent evidentiary basis for each may increase vulnerability.</w:t>
      </w:r>
    </w:p>
    <w:p>
      <w:pPr>
        <w:pStyle w:val="ListParagraph"/>
        <w:numPr>
          <w:ilvl w:val="0"/>
          <w:numId w:val="7"/>
        </w:numPr>
        <w:spacing w:after="80" w:line="276"/>
      </w:pPr>
      <w:r>
        <w:rPr>
          <w:rFonts w:ascii="Arial" w:cs="Arial" w:eastAsia="Arial" w:hAnsi="Arial"/>
          <w:sz w:val="22"/>
          <w:szCs w:val="22"/>
        </w:rPr>
        <w:t xml:space="preserve">Overbreadth: cross-domain designation of a multi-function institution may face proportionality challenge if the record demonstrates facilitation in only one domain.</w:t>
      </w:r>
    </w:p>
    <w:p>
      <w:pPr>
        <w:pStyle w:val="ListParagraph"/>
        <w:numPr>
          <w:ilvl w:val="0"/>
          <w:numId w:val="7"/>
        </w:numPr>
        <w:spacing w:after="80" w:line="276"/>
      </w:pPr>
      <w:r>
        <w:rPr>
          <w:rFonts w:ascii="Arial" w:cs="Arial" w:eastAsia="Arial" w:hAnsi="Arial"/>
          <w:sz w:val="22"/>
          <w:szCs w:val="22"/>
        </w:rPr>
        <w:t xml:space="preserve">Record insufficiency: cross-domain records require coordination across FinCEN, OFAC, BIS, and IC; classified/unclassified record integration may present challenges.</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sustained, correspondent denial is assessed as likely to present significant commercial risk for affected institutions, based on consistent observed compliance behavior in prior enforcement actions. Cross-domain designation of shared infrastructure nodes may produce cross-domain disruption effects where independent evidentiary thresholds are met for each applicable authority, subject to adversary adaptation and network reconstitution.</w:t>
      </w:r>
    </w:p>
    <w:p>
      <w:pPr>
        <w:pStyle w:val="Heading2"/>
        <w:spacing w:after="160" w:before="280"/>
      </w:pPr>
      <w:r>
        <w:rPr>
          <w:rFonts w:ascii="Arial" w:cs="Arial" w:eastAsia="Arial" w:hAnsi="Arial"/>
          <w:b/>
          <w:bCs/>
          <w:color w:val="1B2A4A"/>
          <w:sz w:val="24"/>
          <w:szCs w:val="24"/>
        </w:rPr>
        <w:t xml:space="preserve">6.2 Whistleblower Incentive Programs (31 U.S.C. § 5323)</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10–30% of collected fines/forfeitures, capped at $5M per individual. Original information leading to successful enforcement action exceeding $1M.</w:t>
      </w:r>
    </w:p>
    <w:p>
      <w:pPr>
        <w:spacing w:after="120" w:before="200"/>
      </w:pPr>
      <w:r>
        <w:rPr>
          <w:rFonts w:ascii="Arial" w:cs="Arial" w:eastAsia="Arial" w:hAnsi="Arial"/>
          <w:b/>
          <w:bCs/>
          <w:color w:val="4A5568"/>
          <w:sz w:val="22"/>
          <w:szCs w:val="22"/>
        </w:rPr>
        <w:t xml:space="preserve">Cross-Domain Application</w:t>
      </w:r>
    </w:p>
    <w:p>
      <w:pPr>
        <w:spacing w:after="120" w:line="276"/>
      </w:pPr>
      <w:r>
        <w:rPr>
          <w:rFonts w:ascii="Arial" w:cs="Arial" w:eastAsia="Arial" w:hAnsi="Arial"/>
          <w:sz w:val="22"/>
          <w:szCs w:val="22"/>
        </w:rPr>
        <w:t xml:space="preserve">A single whistleblower source may provide actionable intelligence across domains—a compliance officer at a Dubai exchange house may have visibility into narcotics-linked, TF-linked, and proliferation-linked transactions simultaneously. The § 5323 program incentivizes comprehensive disclosure regardless of the domain classification of the underlying activity.</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FinCEN determines awards within 10–30% range. Cross-domain intelligence from a single source requires coordinated referral to the appropriate domain-specific enforcement authority (DOJ/AFMLS for narcotics forfeiture; DOJ/NSD for § 2339B/D prosecutions; OFAC for designation actions). Source deconfliction across agencies is a procedural requirement.</w:t>
      </w:r>
    </w:p>
    <w:p>
      <w:pPr>
        <w:spacing w:after="120" w:before="200"/>
      </w:pPr>
      <w:r>
        <w:rPr>
          <w:rFonts w:ascii="Arial" w:cs="Arial" w:eastAsia="Arial" w:hAnsi="Arial"/>
          <w:b/>
          <w:bCs/>
          <w:color w:val="4A5568"/>
          <w:sz w:val="22"/>
          <w:szCs w:val="22"/>
        </w:rPr>
        <w:t xml:space="preserve">Evidentiary Basis</w:t>
      </w:r>
    </w:p>
    <w:p>
      <w:pPr>
        <w:pStyle w:val="ListParagraph"/>
        <w:numPr>
          <w:ilvl w:val="0"/>
          <w:numId w:val="8"/>
        </w:numPr>
        <w:spacing w:after="80" w:line="276"/>
      </w:pPr>
      <w:r>
        <w:rPr>
          <w:rFonts w:ascii="Arial" w:cs="Arial" w:eastAsia="Arial" w:hAnsi="Arial"/>
          <w:sz w:val="22"/>
          <w:szCs w:val="22"/>
        </w:rPr>
        <w:t xml:space="preserve">Established: statutory framework [Tier 1].</w:t>
      </w:r>
    </w:p>
    <w:p>
      <w:pPr>
        <w:pStyle w:val="ListParagraph"/>
        <w:numPr>
          <w:ilvl w:val="0"/>
          <w:numId w:val="8"/>
        </w:numPr>
        <w:spacing w:after="80" w:line="276"/>
      </w:pPr>
      <w:r>
        <w:rPr>
          <w:rFonts w:ascii="Arial" w:cs="Arial" w:eastAsia="Arial" w:hAnsi="Arial"/>
          <w:sz w:val="22"/>
          <w:szCs w:val="22"/>
        </w:rPr>
        <w:t xml:space="preserve">Not established: effectiveness of cross-domain outreach; cultural/legal barriers in target jurisdictions; source deconfliction procedures for multi-domain intelligence.</w:t>
      </w:r>
    </w:p>
    <w:p>
      <w:pPr>
        <w:spacing w:after="120" w:before="200"/>
      </w:pPr>
      <w:r>
        <w:rPr>
          <w:rFonts w:ascii="Arial" w:cs="Arial" w:eastAsia="Arial" w:hAnsi="Arial"/>
          <w:b/>
          <w:bCs/>
          <w:color w:val="4A5568"/>
          <w:sz w:val="22"/>
          <w:szCs w:val="22"/>
        </w:rPr>
        <w:t xml:space="preserve">Operational Effect</w:t>
      </w:r>
    </w:p>
    <w:p>
      <w:pPr>
        <w:spacing w:after="120" w:line="276"/>
      </w:pPr>
      <w:r>
        <w:rPr>
          <w:rFonts w:ascii="Arial" w:cs="Arial" w:eastAsia="Arial" w:hAnsi="Arial"/>
          <w:sz w:val="22"/>
          <w:szCs w:val="22"/>
        </w:rPr>
        <w:t xml:space="preserve">If effective, the program may generate actionable intelligence across domains while operating as a self-funding mechanism (compensation from forfeiture proceeds). The principal uncertainty is outreach effectiveness in PRC, UAE, and Middle Eastern contexts.</w:t>
      </w:r>
    </w:p>
    <w:p>
      <w:pPr>
        <w:pStyle w:val="Heading2"/>
        <w:spacing w:after="160" w:before="280"/>
      </w:pPr>
      <w:r>
        <w:rPr>
          <w:rFonts w:ascii="Arial" w:cs="Arial" w:eastAsia="Arial" w:hAnsi="Arial"/>
          <w:b/>
          <w:bCs/>
          <w:color w:val="1B2A4A"/>
          <w:sz w:val="24"/>
          <w:szCs w:val="24"/>
        </w:rPr>
        <w:t xml:space="preserve">6.3 Asset Substitution (18 U.S.C. § 981(k))</w:t>
      </w:r>
    </w:p>
    <w:p>
      <w:pPr>
        <w:spacing w:after="120" w:before="200"/>
      </w:pPr>
      <w:r>
        <w:rPr>
          <w:rFonts w:ascii="Arial" w:cs="Arial" w:eastAsia="Arial" w:hAnsi="Arial"/>
          <w:b/>
          <w:bCs/>
          <w:color w:val="4A5568"/>
          <w:sz w:val="22"/>
          <w:szCs w:val="22"/>
        </w:rPr>
        <w:t xml:space="preserve">Authority</w:t>
      </w:r>
    </w:p>
    <w:p>
      <w:pPr>
        <w:spacing w:after="120" w:line="276"/>
      </w:pPr>
      <w:r>
        <w:rPr>
          <w:rFonts w:ascii="Arial" w:cs="Arial" w:eastAsia="Arial" w:hAnsi="Arial"/>
          <w:sz w:val="22"/>
          <w:szCs w:val="22"/>
        </w:rPr>
        <w:t xml:space="preserve">DOJ seizure of equivalent-value assets from U.S. correspondent accounts as substitute for illicit proceeds held abroad. Applicable across all three domains.</w:t>
      </w:r>
    </w:p>
    <w:p>
      <w:pPr>
        <w:spacing w:after="120" w:before="200"/>
      </w:pPr>
      <w:r>
        <w:rPr>
          <w:rFonts w:ascii="Arial" w:cs="Arial" w:eastAsia="Arial" w:hAnsi="Arial"/>
          <w:b/>
          <w:bCs/>
          <w:color w:val="4A5568"/>
          <w:sz w:val="22"/>
          <w:szCs w:val="22"/>
        </w:rPr>
        <w:t xml:space="preserve">Cross-Domain Application</w:t>
      </w:r>
    </w:p>
    <w:p>
      <w:pPr>
        <w:pStyle w:val="ListParagraph"/>
        <w:numPr>
          <w:ilvl w:val="0"/>
          <w:numId w:val="9"/>
        </w:numPr>
        <w:spacing w:after="80" w:line="276"/>
      </w:pPr>
      <w:r>
        <w:rPr>
          <w:rFonts w:ascii="Arial" w:cs="Arial" w:eastAsia="Arial" w:hAnsi="Arial"/>
          <w:sz w:val="22"/>
          <w:szCs w:val="22"/>
        </w:rPr>
        <w:t xml:space="preserve">ARCH-03: correspondent accounts of banks processing cartel proceeds.</w:t>
      </w:r>
    </w:p>
    <w:p>
      <w:pPr>
        <w:pStyle w:val="ListParagraph"/>
        <w:numPr>
          <w:ilvl w:val="0"/>
          <w:numId w:val="9"/>
        </w:numPr>
        <w:spacing w:after="80" w:line="276"/>
      </w:pPr>
      <w:r>
        <w:rPr>
          <w:rFonts w:ascii="Arial" w:cs="Arial" w:eastAsia="Arial" w:hAnsi="Arial"/>
          <w:sz w:val="22"/>
          <w:szCs w:val="22"/>
        </w:rPr>
        <w:t xml:space="preserve">CTF-01: UAE exchange house balances at U.S. correspondent institutions.</w:t>
      </w:r>
    </w:p>
    <w:p>
      <w:pPr>
        <w:pStyle w:val="ListParagraph"/>
        <w:numPr>
          <w:ilvl w:val="0"/>
          <w:numId w:val="9"/>
        </w:numPr>
        <w:spacing w:after="80" w:line="276"/>
      </w:pPr>
      <w:r>
        <w:rPr>
          <w:rFonts w:ascii="Arial" w:cs="Arial" w:eastAsia="Arial" w:hAnsi="Arial"/>
          <w:sz w:val="22"/>
          <w:szCs w:val="22"/>
        </w:rPr>
        <w:t xml:space="preserve">CPF-02: Russian/PRC bank correspondent accounts holding proliferation payments.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DOJ prosecutorial discretion governs initiation. Cross-domain seizures—where a single correspondent account holds proceeds from multiple predicate activities—require coordinated DOJ/Treasury determination of which predicate supports the forfeiture action. Main Justice and NSC review required for actions against PRC/Russian state-owned institutions.</w:t>
      </w:r>
    </w:p>
    <w:p>
      <w:pPr>
        <w:spacing w:after="120" w:before="200"/>
      </w:pPr>
      <w:r>
        <w:rPr>
          <w:rFonts w:ascii="Arial" w:cs="Arial" w:eastAsia="Arial" w:hAnsi="Arial"/>
          <w:b/>
          <w:bCs/>
          <w:color w:val="4A5568"/>
          <w:sz w:val="22"/>
          <w:szCs w:val="22"/>
        </w:rPr>
        <w:t xml:space="preserve">Principal Legal Risks</w:t>
      </w:r>
    </w:p>
    <w:p>
      <w:pPr>
        <w:pStyle w:val="ListParagraph"/>
        <w:numPr>
          <w:ilvl w:val="0"/>
          <w:numId w:val="10"/>
        </w:numPr>
        <w:spacing w:after="80" w:line="276"/>
      </w:pPr>
      <w:r>
        <w:rPr>
          <w:rFonts w:ascii="Arial" w:cs="Arial" w:eastAsia="Arial" w:hAnsi="Arial"/>
          <w:sz w:val="22"/>
          <w:szCs w:val="22"/>
        </w:rPr>
        <w:t xml:space="preserve">Sovereign immunity (FSIA): commercial activity exception must be established.</w:t>
      </w:r>
    </w:p>
    <w:p>
      <w:pPr>
        <w:pStyle w:val="ListParagraph"/>
        <w:numPr>
          <w:ilvl w:val="0"/>
          <w:numId w:val="10"/>
        </w:numPr>
        <w:spacing w:after="80" w:line="276"/>
      </w:pPr>
      <w:r>
        <w:rPr>
          <w:rFonts w:ascii="Arial" w:cs="Arial" w:eastAsia="Arial" w:hAnsi="Arial"/>
          <w:sz w:val="22"/>
          <w:szCs w:val="22"/>
        </w:rPr>
        <w:t xml:space="preserve">Proportionality: seizure amount must bear reasonable relationship to identified illicit proceeds across all predicates relied upon.</w:t>
      </w:r>
    </w:p>
    <w:p>
      <w:pPr>
        <w:pStyle w:val="ListParagraph"/>
        <w:numPr>
          <w:ilvl w:val="0"/>
          <w:numId w:val="10"/>
        </w:numPr>
        <w:spacing w:after="80" w:line="276"/>
      </w:pPr>
      <w:r>
        <w:rPr>
          <w:rFonts w:ascii="Arial" w:cs="Arial" w:eastAsia="Arial" w:hAnsi="Arial"/>
          <w:sz w:val="22"/>
          <w:szCs w:val="22"/>
        </w:rPr>
        <w:t xml:space="preserve">Due process: adequate notice and opportunity to be heard for foreign bank.</w:t>
      </w:r>
    </w:p>
    <w:p>
      <w:pPr>
        <w:pStyle w:val="ListParagraph"/>
        <w:numPr>
          <w:ilvl w:val="0"/>
          <w:numId w:val="10"/>
        </w:numPr>
        <w:spacing w:after="80" w:line="276"/>
      </w:pPr>
      <w:r>
        <w:rPr>
          <w:rFonts w:ascii="Arial" w:cs="Arial" w:eastAsia="Arial" w:hAnsi="Arial"/>
          <w:sz w:val="22"/>
          <w:szCs w:val="22"/>
        </w:rPr>
        <w:t xml:space="preserve">Diplomatic escalation: simultaneous § 981(k) actions against multiple PRC/Russian banks may trigger coordinated retaliation.</w:t>
      </w:r>
    </w:p>
    <w:p>
      <w:pPr>
        <w:pStyle w:val="Heading1"/>
        <w:spacing w:after="200" w:before="360"/>
      </w:pPr>
      <w:r>
        <w:rPr>
          <w:rFonts w:ascii="Arial" w:cs="Arial" w:eastAsia="Arial" w:hAnsi="Arial"/>
          <w:b/>
          <w:bCs/>
          <w:color w:val="1B2A4A"/>
          <w:sz w:val="30"/>
          <w:szCs w:val="30"/>
        </w:rPr>
        <w:t xml:space="preserve">7. Cross-Domain Threat-Based Decision Framework</w:t>
      </w:r>
    </w:p>
    <w:p>
      <w:pPr>
        <w:spacing w:after="120" w:line="276"/>
      </w:pPr>
      <w:r>
        <w:rPr>
          <w:rFonts w:ascii="Arial" w:cs="Arial" w:eastAsia="Arial" w:hAnsi="Arial"/>
          <w:sz w:val="22"/>
          <w:szCs w:val="22"/>
        </w:rPr>
        <w:t xml:space="preserve">The following framework maps threat indicators to primary and supporting enforcement frameworks. Each routing decision is subject to case-specific evidentiary assessment and interagency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2160"/>
        <w:gridCol w:w="22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Threat Indicator</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Primary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Supporting</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Key Authorities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Decision Authority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PRC precursor shipment to FTO-designated cartel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ARCH-03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CTF-01 (if FTO-linked)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Notice procedures, § 2339B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Treasury (notice); DOJ (prosecution)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Hawala transfer Dubai→Beirut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CTF-01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CPF-02 (if dual-use)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 5318A(a)(4)(A) class designation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FinCEN (designation); Treasury OGC (legal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Shadow tanker carrying Iranian oil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CPF-02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CTF-01 (if revenue funds proxies)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Maritime de-flagging, registry sanctions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Treasury/State (designation); NSC (diplomatic)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Crypto mixer processing SDGT funds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CTF-01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ARCH-03, CPF-02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DeFi gateway designation, wallet screening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FinCEN (PMLC); OFAC (smart contract)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PRC bank facilitating DPRK trade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CPF-02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ARCH-03 (if fentanyl overlap)</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 5318(k) subpoena, correspondent termination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Treasury (subpoena); DOJ (§ 981(k)); NSC (PRC equities)</w:t>
            </w:r>
          </w:p>
        </w:tc>
      </w:tr>
    </w:tbl>
    <w:p>
      <w:pPr>
        <w:spacing w:after="200" w:before="60"/>
      </w:pPr>
      <w:r>
        <w:rPr>
          <w:rFonts w:ascii="Arial" w:cs="Arial" w:eastAsia="Arial" w:hAnsi="Arial"/>
          <w:i/>
          <w:iCs/>
          <w:color w:val="4A5568"/>
          <w:sz w:val="18"/>
          <w:szCs w:val="18"/>
        </w:rPr>
        <w:t xml:space="preserve">Table 2: Threat-Based Decision Framework. Each routing decision subject to case-specific evidentiary assessment.</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IMPLEMENTATION FRICTION — INTERAGENCY DECONFLICTION: </w:t>
      </w:r>
      <w:r>
        <w:rPr>
          <w:rFonts w:ascii="Arial" w:cs="Arial" w:eastAsia="Arial" w:hAnsi="Arial"/>
          <w:sz w:val="20"/>
          <w:szCs w:val="20"/>
        </w:rPr>
        <w:t xml:space="preserve">Cross-domain routing requires interagency deconfliction. A single enforcement target appearing in multiple domain pipelines requires coordinated designation sequencing to avoid record contamination, duplicative proceedings, or conflicting interagency equities.</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IMPLEMENTATION FRICTION — CLASSIFICATION MANAGEMENT: </w:t>
      </w:r>
      <w:r>
        <w:rPr>
          <w:rFonts w:ascii="Arial" w:cs="Arial" w:eastAsia="Arial" w:hAnsi="Arial"/>
          <w:sz w:val="20"/>
          <w:szCs w:val="20"/>
        </w:rPr>
        <w:t xml:space="preserve">Mixed-source administrative records—where classified intelligence informs unclassified PMLC findings—require careful compartmentalization. The unclassified administrative record must independently support the designation without reference to classified sources. Failure to maintain this separation may compromise both the designation (insufficient unclassified record) and the intelligence source (inadvertent disclosure through record content).</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IMPLEMENTATION FRICTION — LEGAL REVIEW THROUGHPUT: </w:t>
      </w:r>
      <w:r>
        <w:rPr>
          <w:rFonts w:ascii="Arial" w:cs="Arial" w:eastAsia="Arial" w:hAnsi="Arial"/>
          <w:sz w:val="20"/>
          <w:szCs w:val="20"/>
        </w:rPr>
        <w:t xml:space="preserve">Treasury OGC capacity is the binding constraint on simultaneous multi-domain designation packages. Each PMLC designation, E.O. 13224/13382 blocking action, and secondary sanctions determination requires independent OGC review. Simultaneous multi-domain packages for a single target compete for the same legal review capacity. Realistic throughput estimate: 3–5 simultaneous designation packages under active OGC review at any given time, subject to staffing augmentation.</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IMPLEMENTATION FRICTION — RECORD CONTAMINATION RISK: </w:t>
      </w:r>
      <w:r>
        <w:rPr>
          <w:rFonts w:ascii="Arial" w:cs="Arial" w:eastAsia="Arial" w:hAnsi="Arial"/>
          <w:sz w:val="20"/>
          <w:szCs w:val="20"/>
        </w:rPr>
        <w:t xml:space="preserve">A flawed administrative record in one domain can compromise designations in other domains for the same target. If a Section 311 narcotics-predicate designation is vacated on APA grounds, the evidentiary deficiency identified by the court may cast doubt on parallel E.O. 13382 or E.O. 13224 designations relying on overlapping factual predicates. Sequencing should prioritize the domain with the strongest administrative record first.</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IMPLEMENTATION FRICTION — DOMAIN SEQUENCING LOGIC: </w:t>
      </w:r>
      <w:r>
        <w:rPr>
          <w:rFonts w:ascii="Arial" w:cs="Arial" w:eastAsia="Arial" w:hAnsi="Arial"/>
          <w:sz w:val="20"/>
          <w:szCs w:val="20"/>
        </w:rPr>
        <w:t xml:space="preserve">When a target is active across all three domains, designation sequencing should follow the hierarchy: (1) domain with strongest independent administrative record; (2) domain with lowest APA vulnerability; (3) domain with least diplomatic sensitivity. This hierarchy is subject to case-specific assessment and interagency coordination.</w:t>
      </w:r>
    </w:p>
    <w:p>
      <w:pPr>
        <w:pStyle w:val="Heading1"/>
        <w:spacing w:after="200" w:before="360"/>
      </w:pPr>
      <w:r>
        <w:rPr>
          <w:rFonts w:ascii="Arial" w:cs="Arial" w:eastAsia="Arial" w:hAnsi="Arial"/>
          <w:b/>
          <w:bCs/>
          <w:color w:val="1B2A4A"/>
          <w:sz w:val="30"/>
          <w:szCs w:val="30"/>
        </w:rPr>
        <w:t xml:space="preserve">8. Illustrative Cross-Domain Scenario</w:t>
      </w:r>
    </w:p>
    <w:p>
      <w:pPr>
        <w:spacing w:after="120" w:line="276"/>
      </w:pPr>
      <w:r>
        <w:rPr>
          <w:rFonts w:ascii="Arial" w:cs="Arial" w:eastAsia="Arial" w:hAnsi="Arial"/>
          <w:sz w:val="22"/>
          <w:szCs w:val="22"/>
        </w:rPr>
        <w:t xml:space="preserve">The following scenario illustrates the cross-domain enforcement logic. It is hypothetical and does not reference any specific entity.</w:t>
      </w:r>
    </w:p>
    <w:p>
      <w:pPr>
        <w:spacing w:after="120" w:line="276"/>
      </w:pPr>
      <w:r>
        <w:rPr>
          <w:rFonts w:ascii="Arial" w:cs="Arial" w:eastAsia="Arial" w:hAnsi="Arial"/>
          <w:sz w:val="22"/>
          <w:szCs w:val="22"/>
        </w:rPr>
        <w:t xml:space="preserve">Scenario: Treasury identifies a UAE-based exchange house facilitating transactions across multiple threat domains. FinCEN SAR aggregation indicates: (a) bulk cash processing linked to CJNG narcotics proceeds; (b) hawala transfers to Hizballah-affiliated entities in Lebanon; (c) procurement payments for dual-use electronics destined for Iranian end-users.</w:t>
      </w:r>
    </w:p>
    <w:p>
      <w:pPr>
        <w:spacing w:after="120" w:before="200"/>
      </w:pPr>
      <w:r>
        <w:rPr>
          <w:rFonts w:ascii="Arial" w:cs="Arial" w:eastAsia="Arial" w:hAnsi="Arial"/>
          <w:b/>
          <w:bCs/>
          <w:color w:val="4A5568"/>
          <w:sz w:val="22"/>
          <w:szCs w:val="22"/>
        </w:rPr>
        <w:t xml:space="preserve">Cascading Enforcement Possibilities</w:t>
      </w:r>
    </w:p>
    <w:p>
      <w:pPr>
        <w:pStyle w:val="ListParagraph"/>
        <w:numPr>
          <w:ilvl w:val="0"/>
          <w:numId w:val="11"/>
        </w:numPr>
        <w:spacing w:after="80" w:line="276"/>
      </w:pPr>
      <w:r>
        <w:rPr>
          <w:rFonts w:ascii="Arial" w:cs="Arial" w:eastAsia="Arial" w:hAnsi="Arial"/>
          <w:sz w:val="22"/>
          <w:szCs w:val="22"/>
        </w:rPr>
        <w:t xml:space="preserve">Counter-narcotics (ARCH-03): Section 311 PMLC designation based on FEND Off Fentanyl predicate may disrupt cartel money laundering pipeline, subject to administrative record demonstrating nexus to fentanyl trafficking.</w:t>
      </w:r>
    </w:p>
    <w:p>
      <w:pPr>
        <w:pStyle w:val="ListParagraph"/>
        <w:numPr>
          <w:ilvl w:val="0"/>
          <w:numId w:val="11"/>
        </w:numPr>
        <w:spacing w:after="80" w:line="276"/>
      </w:pPr>
      <w:r>
        <w:rPr>
          <w:rFonts w:ascii="Arial" w:cs="Arial" w:eastAsia="Arial" w:hAnsi="Arial"/>
          <w:sz w:val="22"/>
          <w:szCs w:val="22"/>
        </w:rPr>
        <w:t xml:space="preserve">Counter-TF (CTF-01): SDGT designation under E.O. 13224 may freeze assets and disrupt Hizballah financing, subject to OFAC designation discretion and evidentiary basis.</w:t>
      </w:r>
    </w:p>
    <w:p>
      <w:pPr>
        <w:pStyle w:val="ListParagraph"/>
        <w:numPr>
          <w:ilvl w:val="0"/>
          <w:numId w:val="11"/>
        </w:numPr>
        <w:spacing w:after="80" w:line="276"/>
      </w:pPr>
      <w:r>
        <w:rPr>
          <w:rFonts w:ascii="Arial" w:cs="Arial" w:eastAsia="Arial" w:hAnsi="Arial"/>
          <w:sz w:val="22"/>
          <w:szCs w:val="22"/>
        </w:rPr>
        <w:t xml:space="preserve">Counter-proliferation (CPF-02): E.O. 13382 designation may disrupt Iranian procurement channel, subject to BIS export diversion analysis and OFAC record development.</w:t>
      </w:r>
    </w:p>
    <w:p>
      <w:pPr>
        <w:pStyle w:val="ListParagraph"/>
        <w:numPr>
          <w:ilvl w:val="0"/>
          <w:numId w:val="11"/>
        </w:numPr>
        <w:spacing w:after="80" w:line="276"/>
      </w:pPr>
      <w:r>
        <w:rPr>
          <w:rFonts w:ascii="Arial" w:cs="Arial" w:eastAsia="Arial" w:hAnsi="Arial"/>
          <w:sz w:val="22"/>
          <w:szCs w:val="22"/>
        </w:rPr>
        <w:t xml:space="preserve">Whistleblower (§ 5323): compliance officer intelligence may provide transaction-level evidence across all three domains.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EVIDENTIARY REQUIREMENT: </w:t>
      </w:r>
      <w:r>
        <w:rPr>
          <w:rFonts w:ascii="Arial" w:cs="Arial" w:eastAsia="Arial" w:hAnsi="Arial"/>
          <w:sz w:val="20"/>
          <w:szCs w:val="20"/>
        </w:rPr>
        <w:t xml:space="preserve">Cross-domain cascading designation requires that the administrative record independently support each designation on its own predicate. A Section 311 finding based on narcotics predicate does not automatically support E.O. 13224 or E.O. 13382 designation without independent evidentiary basis for each. Each designation is a separate discretionary action by the cognizant authority. In the absence of domain-specific evidentiary support, cross-domain designation may fail under APA review despite shared infrastructure co-location.</w:t>
      </w:r>
    </w:p>
    <w:p>
      <w:pPr>
        <w:pStyle w:val="Heading1"/>
        <w:spacing w:after="200" w:before="360"/>
      </w:pPr>
      <w:r>
        <w:rPr>
          <w:rFonts w:ascii="Arial" w:cs="Arial" w:eastAsia="Arial" w:hAnsi="Arial"/>
          <w:b/>
          <w:bCs/>
          <w:color w:val="1B2A4A"/>
          <w:sz w:val="30"/>
          <w:szCs w:val="30"/>
        </w:rPr>
        <w:t xml:space="preserve">9. Operational Sequencing</w:t>
      </w:r>
    </w:p>
    <w:p>
      <w:pPr>
        <w:spacing w:after="120" w:line="276"/>
      </w:pPr>
      <w:r>
        <w:rPr>
          <w:rFonts w:ascii="Arial" w:cs="Arial" w:eastAsia="Arial" w:hAnsi="Arial"/>
          <w:sz w:val="22"/>
          <w:szCs w:val="22"/>
        </w:rPr>
        <w:t xml:space="preserve">Phased implementation in 90-day assessment cycles. Each phase is subject to interagency review and discretionary escalation decisions.</w:t>
      </w:r>
    </w:p>
    <w:p>
      <w:pPr>
        <w:spacing w:after="120" w:before="200"/>
      </w:pPr>
      <w:r>
        <w:rPr>
          <w:rFonts w:ascii="Arial" w:cs="Arial" w:eastAsia="Arial" w:hAnsi="Arial"/>
          <w:b/>
          <w:bCs/>
          <w:color w:val="4A5568"/>
          <w:sz w:val="22"/>
          <w:szCs w:val="22"/>
        </w:rPr>
        <w:t xml:space="preserve">Phase 1 (Days 1–90): Intelligence Synthesis and Administrative Preparation</w:t>
      </w:r>
    </w:p>
    <w:p>
      <w:pPr>
        <w:pStyle w:val="ListParagraph"/>
        <w:numPr>
          <w:ilvl w:val="0"/>
          <w:numId w:val="12"/>
        </w:numPr>
        <w:spacing w:after="80" w:line="276"/>
      </w:pPr>
      <w:r>
        <w:rPr>
          <w:rFonts w:ascii="Arial" w:cs="Arial" w:eastAsia="Arial" w:hAnsi="Arial"/>
          <w:sz w:val="22"/>
          <w:szCs w:val="22"/>
        </w:rPr>
        <w:t xml:space="preserve">Aggregate SARs, § 314(a) queries, and whistleblower submissions across all three domains.</w:t>
      </w:r>
    </w:p>
    <w:p>
      <w:pPr>
        <w:pStyle w:val="ListParagraph"/>
        <w:numPr>
          <w:ilvl w:val="0"/>
          <w:numId w:val="12"/>
        </w:numPr>
        <w:spacing w:after="80" w:line="276"/>
      </w:pPr>
      <w:r>
        <w:rPr>
          <w:rFonts w:ascii="Arial" w:cs="Arial" w:eastAsia="Arial" w:hAnsi="Arial"/>
          <w:sz w:val="22"/>
          <w:szCs w:val="22"/>
        </w:rPr>
        <w:t xml:space="preserve">Develop administrative records for initial Section 311 proceedings.</w:t>
      </w:r>
    </w:p>
    <w:p>
      <w:pPr>
        <w:pStyle w:val="ListParagraph"/>
        <w:numPr>
          <w:ilvl w:val="0"/>
          <w:numId w:val="12"/>
        </w:numPr>
        <w:spacing w:after="80" w:line="276"/>
      </w:pPr>
      <w:r>
        <w:rPr>
          <w:rFonts w:ascii="Arial" w:cs="Arial" w:eastAsia="Arial" w:hAnsi="Arial"/>
          <w:sz w:val="22"/>
          <w:szCs w:val="22"/>
        </w:rPr>
        <w:t xml:space="preserve">Distribute enhanced notice letters to identified facilitators.</w:t>
      </w:r>
    </w:p>
    <w:p>
      <w:pPr>
        <w:pStyle w:val="ListParagraph"/>
        <w:numPr>
          <w:ilvl w:val="0"/>
          <w:numId w:val="12"/>
        </w:numPr>
        <w:spacing w:after="80" w:line="276"/>
      </w:pPr>
      <w:r>
        <w:rPr>
          <w:rFonts w:ascii="Arial" w:cs="Arial" w:eastAsia="Arial" w:hAnsi="Arial"/>
          <w:sz w:val="22"/>
          <w:szCs w:val="22"/>
        </w:rPr>
        <w:t xml:space="preserve">Deploy whistleblower outreach in target languages and jurisdictions.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Phase 1 initiation is subject to interagency working group establishment with Treasury TFFC, DOJ/NSD, State/CT, Commerce/BIS, and IC representation. Intelligence synthesis requires deconfliction protocols for classified/unclassified information compartmentalization.</w:t>
      </w:r>
    </w:p>
    <w:p>
      <w:pPr>
        <w:spacing w:after="120" w:before="200"/>
      </w:pPr>
      <w:r>
        <w:rPr>
          <w:rFonts w:ascii="Arial" w:cs="Arial" w:eastAsia="Arial" w:hAnsi="Arial"/>
          <w:b/>
          <w:bCs/>
          <w:color w:val="4A5568"/>
          <w:sz w:val="22"/>
          <w:szCs w:val="22"/>
        </w:rPr>
        <w:t xml:space="preserve">Phase 2 (Days 91–180): Initial Designation Actions</w:t>
      </w:r>
    </w:p>
    <w:p>
      <w:pPr>
        <w:pStyle w:val="ListParagraph"/>
        <w:numPr>
          <w:ilvl w:val="0"/>
          <w:numId w:val="13"/>
        </w:numPr>
        <w:spacing w:after="80" w:line="276"/>
      </w:pPr>
      <w:r>
        <w:rPr>
          <w:rFonts w:ascii="Arial" w:cs="Arial" w:eastAsia="Arial" w:hAnsi="Arial"/>
          <w:sz w:val="22"/>
          <w:szCs w:val="22"/>
        </w:rPr>
        <w:t xml:space="preserve">Publish initial Section 311 designations (3–5 targets selected for cross-domain record support), subject to administrative record sufficiency for each.</w:t>
      </w:r>
    </w:p>
    <w:p>
      <w:pPr>
        <w:pStyle w:val="ListParagraph"/>
        <w:numPr>
          <w:ilvl w:val="0"/>
          <w:numId w:val="13"/>
        </w:numPr>
        <w:spacing w:after="80" w:line="276"/>
      </w:pPr>
      <w:r>
        <w:rPr>
          <w:rFonts w:ascii="Arial" w:cs="Arial" w:eastAsia="Arial" w:hAnsi="Arial"/>
          <w:sz w:val="22"/>
          <w:szCs w:val="22"/>
        </w:rPr>
        <w:t xml:space="preserve">Issue § 5318(k) compliance demand letters to non-compliant foreign banks.</w:t>
      </w:r>
    </w:p>
    <w:p>
      <w:pPr>
        <w:pStyle w:val="ListParagraph"/>
        <w:numPr>
          <w:ilvl w:val="0"/>
          <w:numId w:val="13"/>
        </w:numPr>
        <w:spacing w:after="80" w:line="276"/>
      </w:pPr>
      <w:r>
        <w:rPr>
          <w:rFonts w:ascii="Arial" w:cs="Arial" w:eastAsia="Arial" w:hAnsi="Arial"/>
          <w:sz w:val="22"/>
          <w:szCs w:val="22"/>
        </w:rPr>
        <w:t xml:space="preserve">Execute initial § 981(k) asset substitution actions, subject to DOJ prosecutorial discretion and judicial authorization.</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DISCRETION NODE: </w:t>
      </w:r>
      <w:r>
        <w:rPr>
          <w:rFonts w:ascii="Arial" w:cs="Arial" w:eastAsia="Arial" w:hAnsi="Arial"/>
          <w:sz w:val="20"/>
          <w:szCs w:val="20"/>
        </w:rPr>
        <w:t xml:space="preserve">Each designation action is a separate discretionary decision by the cognizant authority. Cross-domain designation sequencing requires interagency coordination to manage diplomatic equities, avoid record contamination, and ensure independent evidentiary basis for each action.</w:t>
      </w:r>
    </w:p>
    <w:p>
      <w:pPr>
        <w:spacing w:after="120" w:before="200"/>
      </w:pPr>
      <w:r>
        <w:rPr>
          <w:rFonts w:ascii="Arial" w:cs="Arial" w:eastAsia="Arial" w:hAnsi="Arial"/>
          <w:b/>
          <w:bCs/>
          <w:color w:val="4A5568"/>
          <w:sz w:val="22"/>
          <w:szCs w:val="22"/>
        </w:rPr>
        <w:t xml:space="preserve">Phase 3 (Days 181–365): Expanded Enforcement</w:t>
      </w:r>
    </w:p>
    <w:p>
      <w:pPr>
        <w:pStyle w:val="ListParagraph"/>
        <w:numPr>
          <w:ilvl w:val="0"/>
          <w:numId w:val="13"/>
        </w:numPr>
        <w:spacing w:after="80" w:line="276"/>
      </w:pPr>
      <w:r>
        <w:rPr>
          <w:rFonts w:ascii="Arial" w:cs="Arial" w:eastAsia="Arial" w:hAnsi="Arial"/>
          <w:sz w:val="22"/>
          <w:szCs w:val="22"/>
        </w:rPr>
        <w:t xml:space="preserve">Expand designations based on network reconstitution analysis and whistleblower intelligence.</w:t>
      </w:r>
    </w:p>
    <w:p>
      <w:pPr>
        <w:pStyle w:val="ListParagraph"/>
        <w:numPr>
          <w:ilvl w:val="0"/>
          <w:numId w:val="13"/>
        </w:numPr>
        <w:spacing w:after="80" w:line="276"/>
      </w:pPr>
      <w:r>
        <w:rPr>
          <w:rFonts w:ascii="Arial" w:cs="Arial" w:eastAsia="Arial" w:hAnsi="Arial"/>
          <w:sz w:val="22"/>
          <w:szCs w:val="22"/>
        </w:rPr>
        <w:t xml:space="preserve">Activate secondary sanctions authorities for third-country facilitators (CAATSA/CISADA/NKSPEA), subject to State Department diplomatic equities and NSC review.</w:t>
      </w:r>
    </w:p>
    <w:p>
      <w:pPr>
        <w:pStyle w:val="ListParagraph"/>
        <w:numPr>
          <w:ilvl w:val="0"/>
          <w:numId w:val="13"/>
        </w:numPr>
        <w:spacing w:after="80" w:line="276"/>
      </w:pPr>
      <w:r>
        <w:rPr>
          <w:rFonts w:ascii="Arial" w:cs="Arial" w:eastAsia="Arial" w:hAnsi="Arial"/>
          <w:sz w:val="22"/>
          <w:szCs w:val="22"/>
        </w:rPr>
        <w:t xml:space="preserve">Coordinate FATF plenary sessions for multilateral designation harmonization.</w:t>
      </w:r>
    </w:p>
    <w:p>
      <w:pPr>
        <w:spacing w:after="120" w:before="200"/>
      </w:pPr>
      <w:r>
        <w:rPr>
          <w:rFonts w:ascii="Arial" w:cs="Arial" w:eastAsia="Arial" w:hAnsi="Arial"/>
          <w:b/>
          <w:bCs/>
          <w:color w:val="4A5568"/>
          <w:sz w:val="22"/>
          <w:szCs w:val="22"/>
        </w:rPr>
        <w:t xml:space="preserve">Phase 4 (365+ Days): Sustainment and Assessment</w:t>
      </w:r>
    </w:p>
    <w:p>
      <w:pPr>
        <w:pStyle w:val="ListParagraph"/>
        <w:numPr>
          <w:ilvl w:val="0"/>
          <w:numId w:val="13"/>
        </w:numPr>
        <w:spacing w:after="80" w:line="276"/>
      </w:pPr>
      <w:r>
        <w:rPr>
          <w:rFonts w:ascii="Arial" w:cs="Arial" w:eastAsia="Arial" w:hAnsi="Arial"/>
          <w:sz w:val="22"/>
          <w:szCs w:val="22"/>
        </w:rPr>
        <w:t xml:space="preserve">Quarterly effectiveness reviews against scenario-conditioned targets.</w:t>
      </w:r>
    </w:p>
    <w:p>
      <w:pPr>
        <w:pStyle w:val="ListParagraph"/>
        <w:numPr>
          <w:ilvl w:val="0"/>
          <w:numId w:val="13"/>
        </w:numPr>
        <w:spacing w:after="80" w:line="276"/>
      </w:pPr>
      <w:r>
        <w:rPr>
          <w:rFonts w:ascii="Arial" w:cs="Arial" w:eastAsia="Arial" w:hAnsi="Arial"/>
          <w:sz w:val="22"/>
          <w:szCs w:val="22"/>
        </w:rPr>
        <w:t xml:space="preserve">Adversary adaptation analysis and targeting adjustment.</w:t>
      </w:r>
    </w:p>
    <w:p>
      <w:pPr>
        <w:pStyle w:val="ListParagraph"/>
        <w:numPr>
          <w:ilvl w:val="0"/>
          <w:numId w:val="13"/>
        </w:numPr>
        <w:spacing w:after="80" w:line="276"/>
      </w:pPr>
      <w:r>
        <w:rPr>
          <w:rFonts w:ascii="Arial" w:cs="Arial" w:eastAsia="Arial" w:hAnsi="Arial"/>
          <w:sz w:val="22"/>
          <w:szCs w:val="22"/>
        </w:rPr>
        <w:t xml:space="preserve">Interagency institutional capacity assessment (see ESCALATE-01).</w:t>
      </w:r>
    </w:p>
    <w:p>
      <w:pPr>
        <w:pStyle w:val="Heading1"/>
        <w:spacing w:after="200" w:before="360"/>
      </w:pPr>
      <w:r>
        <w:rPr>
          <w:rFonts w:ascii="Arial" w:cs="Arial" w:eastAsia="Arial" w:hAnsi="Arial"/>
          <w:b/>
          <w:bCs/>
          <w:color w:val="1B2A4A"/>
          <w:sz w:val="30"/>
          <w:szCs w:val="30"/>
        </w:rPr>
        <w:t xml:space="preserve">10. Interagency Coordination Requirements</w:t>
      </w:r>
    </w:p>
    <w:p>
      <w:pPr>
        <w:pStyle w:val="Heading2"/>
        <w:spacing w:after="160" w:before="280"/>
      </w:pPr>
      <w:r>
        <w:rPr>
          <w:rFonts w:ascii="Arial" w:cs="Arial" w:eastAsia="Arial" w:hAnsi="Arial"/>
          <w:b/>
          <w:bCs/>
          <w:color w:val="1B2A4A"/>
          <w:sz w:val="24"/>
          <w:szCs w:val="24"/>
        </w:rPr>
        <w:t xml:space="preserve">10.1 Lead Agencies</w:t>
      </w:r>
    </w:p>
    <w:p>
      <w:pPr>
        <w:pStyle w:val="ListParagraph"/>
        <w:numPr>
          <w:ilvl w:val="0"/>
          <w:numId w:val="14"/>
        </w:numPr>
        <w:spacing w:after="80" w:line="276"/>
      </w:pPr>
      <w:r>
        <w:rPr>
          <w:rFonts w:ascii="Arial" w:cs="Arial" w:eastAsia="Arial" w:hAnsi="Arial"/>
          <w:sz w:val="22"/>
          <w:szCs w:val="22"/>
        </w:rPr>
        <w:t xml:space="preserve">Treasury (FinCEN/OFAC/TFFC): Section 311 proceedings, designation actions, whistleblower administration, interagency policy coordination.</w:t>
      </w:r>
    </w:p>
    <w:p>
      <w:pPr>
        <w:pStyle w:val="ListParagraph"/>
        <w:numPr>
          <w:ilvl w:val="0"/>
          <w:numId w:val="14"/>
        </w:numPr>
        <w:spacing w:after="80" w:line="276"/>
      </w:pPr>
      <w:r>
        <w:rPr>
          <w:rFonts w:ascii="Arial" w:cs="Arial" w:eastAsia="Arial" w:hAnsi="Arial"/>
          <w:sz w:val="22"/>
          <w:szCs w:val="22"/>
        </w:rPr>
        <w:t xml:space="preserve">DOJ (AFMLS/NSD): § 981(k) seizures, § 2339B/D prosecutions, grand jury proceedings.</w:t>
      </w:r>
    </w:p>
    <w:p>
      <w:pPr>
        <w:pStyle w:val="ListParagraph"/>
        <w:numPr>
          <w:ilvl w:val="0"/>
          <w:numId w:val="14"/>
        </w:numPr>
        <w:spacing w:after="80" w:line="276"/>
      </w:pPr>
      <w:r>
        <w:rPr>
          <w:rFonts w:ascii="Arial" w:cs="Arial" w:eastAsia="Arial" w:hAnsi="Arial"/>
          <w:sz w:val="22"/>
          <w:szCs w:val="22"/>
        </w:rPr>
        <w:t xml:space="preserve">State (INL/CT): coalition coordination, diplomatic engagement, FTO designation proceedings.</w:t>
      </w:r>
    </w:p>
    <w:p>
      <w:pPr>
        <w:pStyle w:val="ListParagraph"/>
        <w:numPr>
          <w:ilvl w:val="0"/>
          <w:numId w:val="14"/>
        </w:numPr>
        <w:spacing w:after="80" w:line="276"/>
      </w:pPr>
      <w:r>
        <w:rPr>
          <w:rFonts w:ascii="Arial" w:cs="Arial" w:eastAsia="Arial" w:hAnsi="Arial"/>
          <w:sz w:val="22"/>
          <w:szCs w:val="22"/>
        </w:rPr>
        <w:t xml:space="preserve">Commerce (BIS): Entity List maintenance, FDPR enforcement, dual-use export monitoring.</w:t>
      </w:r>
    </w:p>
    <w:p>
      <w:pPr>
        <w:pStyle w:val="ListParagraph"/>
        <w:numPr>
          <w:ilvl w:val="0"/>
          <w:numId w:val="14"/>
        </w:numPr>
        <w:spacing w:after="80" w:line="276"/>
      </w:pPr>
      <w:r>
        <w:rPr>
          <w:rFonts w:ascii="Arial" w:cs="Arial" w:eastAsia="Arial" w:hAnsi="Arial"/>
          <w:sz w:val="22"/>
          <w:szCs w:val="22"/>
        </w:rPr>
        <w:t xml:space="preserve">IC (CIA/DIA/NSA/FinCEN): target development, financial network mapping, whistleblower source vetting.</w:t>
      </w:r>
    </w:p>
    <w:p>
      <w:pPr>
        <w:pStyle w:val="Heading2"/>
        <w:spacing w:after="160" w:before="280"/>
      </w:pPr>
      <w:r>
        <w:rPr>
          <w:rFonts w:ascii="Arial" w:cs="Arial" w:eastAsia="Arial" w:hAnsi="Arial"/>
          <w:b/>
          <w:bCs/>
          <w:color w:val="1B2A4A"/>
          <w:sz w:val="24"/>
          <w:szCs w:val="24"/>
        </w:rPr>
        <w:t xml:space="preserve">10.2 Resource Requirements</w:t>
      </w:r>
    </w:p>
    <w:p>
      <w:pPr>
        <w:pStyle w:val="ListParagraph"/>
        <w:numPr>
          <w:ilvl w:val="0"/>
          <w:numId w:val="15"/>
        </w:numPr>
        <w:spacing w:after="80" w:line="276"/>
      </w:pPr>
      <w:r>
        <w:rPr>
          <w:rFonts w:ascii="Arial" w:cs="Arial" w:eastAsia="Arial" w:hAnsi="Arial"/>
          <w:sz w:val="22"/>
          <w:szCs w:val="22"/>
        </w:rPr>
        <w:t xml:space="preserve">Personnel augmentation: ~38 positions across FinCEN (+15), OFAC (+10), DOJ/AFMLS (+8), State/INL (+5). Estimated $8M annually. This figure assumes cross-domain utilization where individual analysts and prosecutors serve multiple enforcement pipelines simultaneously; domain-specific modules identify higher individual headcounts that reflect dedicated single-domain staffing without cross-utilization.</w:t>
      </w:r>
    </w:p>
    <w:p>
      <w:pPr>
        <w:pStyle w:val="ListParagraph"/>
        <w:numPr>
          <w:ilvl w:val="0"/>
          <w:numId w:val="15"/>
        </w:numPr>
        <w:spacing w:after="80" w:line="276"/>
      </w:pPr>
      <w:r>
        <w:rPr>
          <w:rFonts w:ascii="Arial" w:cs="Arial" w:eastAsia="Arial" w:hAnsi="Arial"/>
          <w:sz w:val="22"/>
          <w:szCs w:val="22"/>
        </w:rPr>
        <w:t xml:space="preserve">Technology: blockchain analytics, encrypted whistleblower portal, multilingual outreach. $12M one-time + $3M annual.</w:t>
      </w:r>
    </w:p>
    <w:p>
      <w:pPr>
        <w:pStyle w:val="ListParagraph"/>
        <w:numPr>
          <w:ilvl w:val="0"/>
          <w:numId w:val="15"/>
        </w:numPr>
        <w:spacing w:after="80" w:line="276"/>
      </w:pPr>
      <w:r>
        <w:rPr>
          <w:rFonts w:ascii="Arial" w:cs="Arial" w:eastAsia="Arial" w:hAnsi="Arial"/>
          <w:sz w:val="22"/>
          <w:szCs w:val="22"/>
        </w:rPr>
        <w:t xml:space="preserve">Whistleblower compensation reserve: $500M contingent liability (funded from forfeiture proceeds under § 5323 framework).</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COST ESTIMATE SCOPE: </w:t>
      </w:r>
      <w:r>
        <w:rPr>
          <w:rFonts w:ascii="Arial" w:cs="Arial" w:eastAsia="Arial" w:hAnsi="Arial"/>
          <w:sz w:val="20"/>
          <w:szCs w:val="20"/>
        </w:rPr>
        <w:t xml:space="preserve">Estimates reflect direct staffing costs (GS-13/14 equivalents) only. Full program costs including overhead, interagency coordination infrastructure, litigation support, contractor services, and classified system access are not estimated and would be substantially higher. These figures are illustrative for scoping purposes, not suitable for budget justification.</w:t>
      </w:r>
    </w:p>
    <w:p>
      <w:pPr>
        <w:spacing w:after="120" w:line="276"/>
      </w:pPr>
      <w:r>
        <w:rPr>
          <w:rFonts w:ascii="Arial" w:cs="Arial" w:eastAsia="Arial" w:hAnsi="Arial"/>
          <w:sz w:val="22"/>
          <w:szCs w:val="22"/>
        </w:rPr>
        <w:t xml:space="preserve">Total direct implementation: approximately $23M annually + $12M one-time. Forfeiture returns at base-case projections ($2–$6B over 36 months) are assessed as substantially exceeding administrative costs.</w:t>
      </w:r>
    </w:p>
    <w:p>
      <w:pPr>
        <w:pBdr>
          <w:left w:val="single" w:color="7A4000" w:sz="12" w:space="8"/>
        </w:pBdr>
        <w:shd w:fill="FEF3E2" w:val="clear"/>
        <w:spacing w:after="200" w:before="200" w:line="276"/>
        <w:ind w:left="200" w:right="200"/>
      </w:pPr>
      <w:r>
        <w:rPr>
          <w:rFonts w:ascii="Arial" w:cs="Arial" w:eastAsia="Arial" w:hAnsi="Arial"/>
          <w:b/>
          <w:bCs/>
          <w:color w:val="7A4000"/>
          <w:sz w:val="20"/>
          <w:szCs w:val="20"/>
        </w:rPr>
        <w:t xml:space="preserve">IMPLEMENTATION FRICTION: </w:t>
      </w:r>
      <w:r>
        <w:rPr>
          <w:rFonts w:ascii="Arial" w:cs="Arial" w:eastAsia="Arial" w:hAnsi="Arial"/>
          <w:sz w:val="20"/>
          <w:szCs w:val="20"/>
        </w:rPr>
        <w:t xml:space="preserve">The primary constraint on cross-domain enforcement is institutional throughput: the number of simultaneous Section 311 proceedings, § 981(k) actions, and § 2339B/D prosecutions that Treasury, DOJ, and the IC can sustain with current and augmented staffing. See ESCALATE-01 for institutional capacity modeling.</w:t>
      </w:r>
    </w:p>
    <w:p>
      <w:pPr>
        <w:pStyle w:val="Heading1"/>
        <w:spacing w:after="200" w:before="360"/>
      </w:pPr>
      <w:r>
        <w:rPr>
          <w:rFonts w:ascii="Arial" w:cs="Arial" w:eastAsia="Arial" w:hAnsi="Arial"/>
          <w:b/>
          <w:bCs/>
          <w:color w:val="1B2A4A"/>
          <w:sz w:val="30"/>
          <w:szCs w:val="30"/>
        </w:rPr>
        <w:t xml:space="preserve">11. Alternative Explanations and Defensive Counterarguments</w:t>
      </w:r>
    </w:p>
    <w:p>
      <w:pPr>
        <w:pStyle w:val="ListParagraph"/>
        <w:numPr>
          <w:ilvl w:val="0"/>
          <w:numId w:val="16"/>
        </w:numPr>
        <w:spacing w:after="80" w:line="276"/>
      </w:pPr>
      <w:r>
        <w:rPr>
          <w:rFonts w:ascii="Arial" w:cs="Arial" w:eastAsia="Arial" w:hAnsi="Arial"/>
          <w:sz w:val="22"/>
          <w:szCs w:val="22"/>
        </w:rPr>
        <w:t xml:space="preserve">Coincidental infrastructure overlap: shared financial intermediaries may facilitate transactions across threat domains without entity-level coordination or knowledge of cross-domain activity. Cross-domain designation requires independent evidentiary basis for each predicate, not merely geographic co-location.</w:t>
      </w:r>
    </w:p>
    <w:p>
      <w:pPr>
        <w:pStyle w:val="ListParagraph"/>
        <w:numPr>
          <w:ilvl w:val="0"/>
          <w:numId w:val="16"/>
        </w:numPr>
        <w:spacing w:after="80" w:line="276"/>
      </w:pPr>
      <w:r>
        <w:rPr>
          <w:rFonts w:ascii="Arial" w:cs="Arial" w:eastAsia="Arial" w:hAnsi="Arial"/>
          <w:sz w:val="22"/>
          <w:szCs w:val="22"/>
        </w:rPr>
        <w:t xml:space="preserve">Compliance burden disproportionality: simultaneous multi-domain enforcement may impose disproportionate costs on lawful commerce in affected jurisdictions, particularly humanitarian and personal remittance channels.</w:t>
      </w:r>
    </w:p>
    <w:p>
      <w:pPr>
        <w:pStyle w:val="ListParagraph"/>
        <w:numPr>
          <w:ilvl w:val="0"/>
          <w:numId w:val="16"/>
        </w:numPr>
        <w:spacing w:after="80" w:line="276"/>
      </w:pPr>
      <w:r>
        <w:rPr>
          <w:rFonts w:ascii="Arial" w:cs="Arial" w:eastAsia="Arial" w:hAnsi="Arial"/>
          <w:sz w:val="22"/>
          <w:szCs w:val="22"/>
        </w:rPr>
        <w:t xml:space="preserve">Diplomatic overextension: coordinated enforcement against PRC, Russia, UAE, and Turkey simultaneously may exhaust diplomatic capital and trigger coordinated retaliation.</w:t>
      </w:r>
    </w:p>
    <w:p>
      <w:pPr>
        <w:pStyle w:val="ListParagraph"/>
        <w:numPr>
          <w:ilvl w:val="0"/>
          <w:numId w:val="16"/>
        </w:numPr>
        <w:spacing w:after="80" w:line="276"/>
      </w:pPr>
      <w:r>
        <w:rPr>
          <w:rFonts w:ascii="Arial" w:cs="Arial" w:eastAsia="Arial" w:hAnsi="Arial"/>
          <w:sz w:val="22"/>
          <w:szCs w:val="22"/>
        </w:rPr>
        <w:t xml:space="preserve">Institutional throughput failure: the scale of proposed coordination may exceed interagency capacity, resulting in degraded record quality and increased APA vulnerability.</w:t>
      </w:r>
    </w:p>
    <w:p>
      <w:pPr>
        <w:pStyle w:val="ListParagraph"/>
        <w:numPr>
          <w:ilvl w:val="0"/>
          <w:numId w:val="16"/>
        </w:numPr>
        <w:spacing w:after="80" w:line="276"/>
      </w:pPr>
      <w:r>
        <w:rPr>
          <w:rFonts w:ascii="Arial" w:cs="Arial" w:eastAsia="Arial" w:hAnsi="Arial"/>
          <w:sz w:val="22"/>
          <w:szCs w:val="22"/>
        </w:rPr>
        <w:t xml:space="preserve">Adversary adaptation: coordinated pressure may drive network convergence rather than fragmentation, as threat actors consolidate into fewer, more resilient financial channels.</w:t>
      </w:r>
    </w:p>
    <w:p>
      <w:pPr>
        <w:pStyle w:val="Heading1"/>
        <w:spacing w:after="200" w:before="360"/>
      </w:pPr>
      <w:r>
        <w:rPr>
          <w:rFonts w:ascii="Arial" w:cs="Arial" w:eastAsia="Arial" w:hAnsi="Arial"/>
          <w:b/>
          <w:bCs/>
          <w:color w:val="1B2A4A"/>
          <w:sz w:val="30"/>
          <w:szCs w:val="30"/>
        </w:rPr>
        <w:t xml:space="preserve">12. Humanitarian Safeguards Framework</w:t>
      </w:r>
    </w:p>
    <w:p>
      <w:pPr>
        <w:spacing w:after="120" w:line="276"/>
      </w:pPr>
      <w:r>
        <w:rPr>
          <w:rFonts w:ascii="Arial" w:cs="Arial" w:eastAsia="Arial" w:hAnsi="Arial"/>
          <w:sz w:val="22"/>
          <w:szCs w:val="22"/>
          <w:color w:val="000000"/>
        </w:rPr>
        <w:t xml:space="preserve">This section serves the entire enforcement architecture series. Domain-specific modules (ARCH-03, CTF-01, CPF-02) should cross-reference this framework for humanitarian compliance requirements.</w:t>
      </w:r>
    </w:p>
    <w:p>
      <w:pPr>
        <w:pStyle w:val="Heading2"/>
        <w:spacing w:after="160" w:before="280"/>
      </w:pPr>
      <w:r>
        <w:rPr>
          <w:rFonts w:ascii="Arial" w:cs="Arial" w:eastAsia="Arial" w:hAnsi="Arial"/>
          <w:b/>
          <w:bCs/>
          <w:color w:val="1B2A4A"/>
          <w:sz w:val="24"/>
          <w:szCs w:val="24"/>
        </w:rPr>
        <w:t xml:space="preserve">12.1 OFAC General License Architecture</w:t>
      </w:r>
    </w:p>
    <w:p>
      <w:pPr>
        <w:spacing w:after="120" w:line="276"/>
      </w:pPr>
      <w:r>
        <w:rPr>
          <w:rFonts w:ascii="Arial" w:cs="Arial" w:eastAsia="Arial" w:hAnsi="Arial"/>
          <w:sz w:val="22"/>
          <w:szCs w:val="22"/>
          <w:color w:val="000000"/>
        </w:rPr>
        <w:t xml:space="preserve">The existing OFAC General License framework provides the baseline protective structure for humanitarian transactions: GL-D (personal remittances); GL-E (NGO humanitarian assistance); GL-20 (Lebanon food/medicine imports); GL-H (Iran agricultural commodities, 31 C.F.R. § 560.530); GL-43 (COVID-related medical supplies, 31 C.F.R. § 510.516). Safe harbor provisions protect banks processing licensed humanitarian transactions from enforcement action. Expedited OFAC license review (target: 95% approval within 30 days) applies to all humanitarian applications [Tier 1 — OFAC GL framework].</w:t>
      </w:r>
    </w:p>
    <w:p>
      <w:pPr>
        <w:pStyle w:val="Heading2"/>
        <w:spacing w:after="160" w:before="280"/>
      </w:pPr>
      <w:r>
        <w:rPr>
          <w:rFonts w:ascii="Arial" w:cs="Arial" w:eastAsia="Arial" w:hAnsi="Arial"/>
          <w:b/>
          <w:bCs/>
          <w:color w:val="1B2A4A"/>
          <w:sz w:val="24"/>
          <w:szCs w:val="24"/>
        </w:rPr>
        <w:t xml:space="preserve">12.2 Proportionality Analysis Requirements</w:t>
      </w:r>
    </w:p>
    <w:p>
      <w:pPr>
        <w:spacing w:after="120" w:line="276"/>
      </w:pPr>
      <w:r>
        <w:rPr>
          <w:rFonts w:ascii="Arial" w:cs="Arial" w:eastAsia="Arial" w:hAnsi="Arial"/>
          <w:sz w:val="22"/>
          <w:szCs w:val="22"/>
          <w:color w:val="000000"/>
        </w:rPr>
        <w:t xml:space="preserve">For class-based and corridor-wide designations, the administrative record must include a proportionality analysis demonstrating that the special measure is commensurate with identified risk. Practitioners building this component of the record should gather: (a) transaction volume data distinguishing illicit-linked from legitimate activity within the designated class or corridor; (b) estimated humanitarian impact on lawful remittances, trade, and aid flows; (c) availability of alternative transaction channels for legitimate users; (d) effectiveness of proposed General License carve-outs in mitigating overbreadth.</w:t>
      </w:r>
    </w:p>
    <w:p>
      <w:pPr>
        <w:pBdr>
          <w:left w:val="single" w:color="7A4000" w:sz="12" w:space="8"/>
        </w:pBdr>
        <w:shd w:val="clear" w:color="auto" w:fill="FEF3E2"/>
        <w:spacing w:after="200" w:before="200" w:line="276"/>
        <w:ind w:left="200" w:right="200"/>
      </w:pPr>
      <w:r>
        <w:rPr>
          <w:rFonts w:ascii="Arial" w:cs="Arial" w:eastAsia="Arial" w:hAnsi="Arial"/>
          <w:b/>
          <w:bCs/>
          <w:color w:val="7A4000"/>
          <w:sz w:val="20"/>
          <w:szCs w:val="20"/>
        </w:rPr>
        <w:t xml:space="preserve">RECORD REQUIREMENT: </w:t>
      </w:r>
      <w:r>
        <w:rPr>
          <w:rFonts w:ascii="Arial" w:cs="Arial" w:eastAsia="Arial" w:hAnsi="Arial"/>
          <w:sz w:val="20"/>
          <w:szCs w:val="20"/>
        </w:rPr>
        <w:t xml:space="preserve">Proportionality analysis is a mandatory component of the administrative record for any Section 311 designation. Absence of proportionality analysis increases APA vulnerability under Motor Vehicle Mfrs. Ass’n v. State Farm, 463 U.S. 29 (1983).</w:t>
      </w:r>
    </w:p>
    <w:p>
      <w:pPr>
        <w:pStyle w:val="Heading2"/>
        <w:spacing w:after="160" w:before="280"/>
      </w:pPr>
      <w:r>
        <w:rPr>
          <w:rFonts w:ascii="Arial" w:cs="Arial" w:eastAsia="Arial" w:hAnsi="Arial"/>
          <w:b/>
          <w:bCs/>
          <w:color w:val="1B2A4A"/>
          <w:sz w:val="24"/>
          <w:szCs w:val="24"/>
        </w:rPr>
        <w:t xml:space="preserve">12.3 De-Risking Cascade Risk</w:t>
      </w:r>
    </w:p>
    <w:p>
      <w:pPr>
        <w:spacing w:after="120" w:line="276"/>
      </w:pPr>
      <w:r>
        <w:rPr>
          <w:rFonts w:ascii="Arial" w:cs="Arial" w:eastAsia="Arial" w:hAnsi="Arial"/>
          <w:sz w:val="22"/>
          <w:szCs w:val="22"/>
          <w:color w:val="000000"/>
        </w:rPr>
        <w:t xml:space="preserve">Financial institutions routinely over-comply with designations by terminating all relationships in affected corridors or jurisdictions, cutting off lawful activity beyond the designation scope. This de-risking cascade may affect humanitarian organizations, personal remittance senders, and lawful commercial actors who are not targets of the designation. The administrative record should address de-risking risk and identify mitigation measures (targeted vs. blanket designation, explicit safe harbor provisions, compliance guidance to correspondent banks).</w:t>
      </w:r>
    </w:p>
    <w:p>
      <w:pPr>
        <w:pStyle w:val="Heading2"/>
        <w:spacing w:after="160" w:before="280"/>
      </w:pPr>
      <w:r>
        <w:rPr>
          <w:rFonts w:ascii="Arial" w:cs="Arial" w:eastAsia="Arial" w:hAnsi="Arial"/>
          <w:b/>
          <w:bCs/>
          <w:color w:val="1B2A4A"/>
          <w:sz w:val="24"/>
          <w:szCs w:val="24"/>
        </w:rPr>
        <w:t xml:space="preserve">12.4 False-Positive Analysis Framework</w:t>
      </w:r>
    </w:p>
    <w:p>
      <w:pPr>
        <w:spacing w:after="120" w:line="276"/>
      </w:pPr>
      <w:r>
        <w:rPr>
          <w:rFonts w:ascii="Arial" w:cs="Arial" w:eastAsia="Arial" w:hAnsi="Arial"/>
          <w:sz w:val="22"/>
          <w:szCs w:val="22"/>
          <w:color w:val="000000"/>
        </w:rPr>
        <w:t xml:space="preserve">For corridor-wide or class-based designations, practitioners should estimate the ratio of legitimate-to-illicit transactions within the designated class. A designation where &gt;50% of affected transactions are legitimate faces significant proportionality challenge. The administrative record should document: (a) estimated total transaction volume in the affected class/corridor; (b) estimated illicit-linked volume based on SAR aggregation and blockchain forensics; (c) estimated legitimate volume including humanitarian, commercial, and personal remittance activity; (d) the resulting legitimate-to-illicit ratio and its implications for proportionality.</w:t>
      </w:r>
    </w:p>
    <w:p>
      <w:pPr>
        <w:pStyle w:val="Heading2"/>
        <w:spacing w:after="160" w:before="280"/>
      </w:pPr>
      <w:r>
        <w:rPr>
          <w:rFonts w:ascii="Arial" w:cs="Arial" w:eastAsia="Arial" w:hAnsi="Arial"/>
          <w:b/>
          <w:bCs/>
          <w:color w:val="1B2A4A"/>
          <w:sz w:val="24"/>
          <w:szCs w:val="24"/>
        </w:rPr>
        <w:t xml:space="preserve">12.5 Lawful Remittance Protection</w:t>
      </w:r>
    </w:p>
    <w:p>
      <w:pPr>
        <w:spacing w:after="120" w:line="276"/>
      </w:pPr>
      <w:r>
        <w:rPr>
          <w:rFonts w:ascii="Arial" w:cs="Arial" w:eastAsia="Arial" w:hAnsi="Arial"/>
          <w:sz w:val="22"/>
          <w:szCs w:val="22"/>
          <w:color w:val="000000"/>
        </w:rPr>
        <w:t xml:space="preserve">Safe harbor provisions, expedited licensing, and NGO carve-outs must be included in every designation action. Humanitarian organizations certify: no connection to designated entities (SDN screening); enhanced beneficiary screening; quarterly OFAC reporting. Cross-domain designations require humanitarian impact assessment addressing cumulative effects—a single exchange house designation may affect humanitarian channels in multiple jurisdictions simultaneously.</w:t>
      </w:r>
    </w:p>
    <w:p>
      <w:pPr>
        <w:pStyle w:val="Heading2"/>
        <w:spacing w:after="160" w:before="280"/>
      </w:pPr>
      <w:r>
        <w:rPr>
          <w:rFonts w:ascii="Arial" w:cs="Arial" w:eastAsia="Arial" w:hAnsi="Arial"/>
          <w:b/>
          <w:bCs/>
          <w:color w:val="1B2A4A"/>
          <w:sz w:val="24"/>
          <w:szCs w:val="24"/>
        </w:rPr>
        <w:t xml:space="preserve">12.6 Pre-Action Screening Requirement</w:t>
      </w:r>
    </w:p>
    <w:p>
      <w:pPr>
        <w:spacing w:after="120" w:line="276"/>
      </w:pPr>
      <w:r>
        <w:rPr>
          <w:rFonts w:ascii="Arial" w:cs="Arial" w:eastAsia="Arial" w:hAnsi="Arial"/>
          <w:sz w:val="22"/>
          <w:szCs w:val="22"/>
          <w:color w:val="000000"/>
        </w:rPr>
        <w:t xml:space="preserve">Mandatory humanitarian impact screening is a pre-action requirement for every Section 311 designation, E.O. 13224/13382 blocking action, and § 981(k) forfeiture action across all domains. This screening must be documented in the administrative record and is subject to interagency review.</w:t>
      </w:r>
    </w:p>
    <w:p>
      <w:pPr>
        <w:pStyle w:val="Heading1"/>
        <w:spacing w:after="200" w:before="360"/>
      </w:pPr>
      <w:r>
        <w:rPr>
          <w:rFonts w:ascii="Arial" w:cs="Arial" w:eastAsia="Arial" w:hAnsi="Arial"/>
          <w:b/>
          <w:bCs/>
          <w:color w:val="1B2A4A"/>
          <w:sz w:val="30"/>
          <w:szCs w:val="30"/>
        </w:rPr>
        <w:t xml:space="preserve">13. Key Unknowns and Record Limitations</w:t>
      </w:r>
    </w:p>
    <w:p>
      <w:pPr>
        <w:pStyle w:val="ListParagraph"/>
        <w:numPr>
          <w:ilvl w:val="0"/>
          <w:numId w:val="17"/>
        </w:numPr>
        <w:spacing w:after="80" w:line="276"/>
      </w:pPr>
      <w:r>
        <w:rPr>
          <w:rFonts w:ascii="Arial" w:cs="Arial" w:eastAsia="Arial" w:hAnsi="Arial"/>
          <w:sz w:val="22"/>
          <w:szCs w:val="22"/>
        </w:rPr>
        <w:t xml:space="preserve">Cross-domain enforcement multiplier: whether coordinated action produces synergistic effects beyond the sum of domain-specific actions. No precedent at proposed scale.</w:t>
      </w:r>
    </w:p>
    <w:p>
      <w:pPr>
        <w:pStyle w:val="ListParagraph"/>
        <w:numPr>
          <w:ilvl w:val="0"/>
          <w:numId w:val="17"/>
        </w:numPr>
        <w:spacing w:after="80" w:line="276"/>
      </w:pPr>
      <w:r>
        <w:rPr>
          <w:rFonts w:ascii="Arial" w:cs="Arial" w:eastAsia="Arial" w:hAnsi="Arial"/>
          <w:sz w:val="22"/>
          <w:szCs w:val="22"/>
        </w:rPr>
        <w:t xml:space="preserve">Interagency throughput capacity: whether Treasury, DOJ, and IC can sustain simultaneous multi-domain enforcement at the proposed tempo.</w:t>
      </w:r>
    </w:p>
    <w:p>
      <w:pPr>
        <w:pStyle w:val="ListParagraph"/>
        <w:numPr>
          <w:ilvl w:val="0"/>
          <w:numId w:val="17"/>
        </w:numPr>
        <w:spacing w:after="80" w:line="276"/>
      </w:pPr>
      <w:r>
        <w:rPr>
          <w:rFonts w:ascii="Arial" w:cs="Arial" w:eastAsia="Arial" w:hAnsi="Arial"/>
          <w:sz w:val="22"/>
          <w:szCs w:val="22"/>
        </w:rPr>
        <w:t xml:space="preserve">Adversary adaptation to coordinated pressure: whether cross-domain enforcement drives fragmentation or consolidation of illicit financial networks.</w:t>
      </w:r>
    </w:p>
    <w:p>
      <w:pPr>
        <w:pStyle w:val="ListParagraph"/>
        <w:numPr>
          <w:ilvl w:val="0"/>
          <w:numId w:val="17"/>
        </w:numPr>
        <w:spacing w:after="80" w:line="276"/>
      </w:pPr>
      <w:r>
        <w:rPr>
          <w:rFonts w:ascii="Arial" w:cs="Arial" w:eastAsia="Arial" w:hAnsi="Arial"/>
          <w:sz w:val="22"/>
          <w:szCs w:val="22"/>
        </w:rPr>
        <w:t xml:space="preserve">PRC/Russia coordinated retaliation threshold: simultaneous enforcement across multiple domains affecting both states may trigger coordinated counter-enforcement.</w:t>
      </w:r>
    </w:p>
    <w:p>
      <w:pPr>
        <w:pStyle w:val="ListParagraph"/>
        <w:numPr>
          <w:ilvl w:val="0"/>
          <w:numId w:val="17"/>
        </w:numPr>
        <w:spacing w:after="80" w:line="276"/>
      </w:pPr>
      <w:r>
        <w:rPr>
          <w:rFonts w:ascii="Arial" w:cs="Arial" w:eastAsia="Arial" w:hAnsi="Arial"/>
          <w:sz w:val="22"/>
          <w:szCs w:val="22"/>
        </w:rPr>
        <w:t xml:space="preserve">Whistleblower cross-domain intelligence yield: whether single-source intelligence spanning multiple domains is operationally achievable at scale.</w:t>
      </w:r>
    </w:p>
    <w:p>
      <w:pPr>
        <w:pStyle w:val="ListParagraph"/>
        <w:numPr>
          <w:ilvl w:val="0"/>
          <w:numId w:val="17"/>
        </w:numPr>
        <w:spacing w:after="80" w:line="276"/>
      </w:pPr>
      <w:r>
        <w:rPr>
          <w:rFonts w:ascii="Arial" w:cs="Arial" w:eastAsia="Arial" w:hAnsi="Arial"/>
          <w:sz w:val="22"/>
          <w:szCs w:val="22"/>
        </w:rPr>
        <w:t xml:space="preserve">Cumulative humanitarian impact: whether simultaneous multi-domain enforcement in overlapping jurisdictions creates unintended civilian harm beyond domain-specific projections.</w:t>
      </w:r>
    </w:p>
    <w:p>
      <w:pPr>
        <w:pStyle w:val="Heading1"/>
        <w:spacing w:after="200" w:before="360"/>
      </w:pPr>
      <w:r>
        <w:rPr>
          <w:rFonts w:ascii="Arial" w:cs="Arial" w:eastAsia="Arial" w:hAnsi="Arial"/>
          <w:b/>
          <w:bCs/>
          <w:color w:val="1B2A4A"/>
          <w:sz w:val="30"/>
          <w:szCs w:val="30"/>
        </w:rPr>
        <w:t xml:space="preserve">14.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Best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Base Case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Worst Case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Cross-domain revenue degradation (36 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50–70%: Full coordination, sustained execution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30–50%: Partial coordination, moderate adaptation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15–25%: Throughput failure, active counter-enforcement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Asset forfeiture (36 mo.)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$5–$10B: Full § 981(k) utilization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$2–$6B: Moderate utilization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$500M–$1.5B: Limited actions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Interagency coordination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Sustained formal working group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Ad hoc coordination with gaps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val="false"/>
                <w:bCs w:val="false"/>
                <w:color w:val="000000"/>
                <w:sz w:val="20"/>
                <w:szCs w:val="20"/>
              </w:rPr>
              <w:t xml:space="preserve">Siloed execution, minimal synergy</w:t>
            </w:r>
          </w:p>
        </w:tc>
      </w:tr>
    </w:tbl>
    <w:p>
      <w:pPr>
        <w:spacing w:after="200" w:before="60"/>
      </w:pPr>
      <w:r>
        <w:rPr>
          <w:rFonts w:ascii="Arial" w:cs="Arial" w:eastAsia="Arial" w:hAnsi="Arial"/>
          <w:i/>
          <w:iCs/>
          <w:color w:val="4A5568"/>
          <w:sz w:val="18"/>
          <w:szCs w:val="18"/>
        </w:rPr>
        <w:t xml:space="preserve">Table 3: Sensitivity Analysis. Scenario-based extrapolations, not predictive model outputs.</w:t>
      </w:r>
    </w:p>
    <w:p>
      <w:pPr>
        <w:pStyle w:val="Heading1"/>
        <w:spacing w:after="200" w:before="360"/>
      </w:pPr>
      <w:r>
        <w:rPr>
          <w:rFonts w:ascii="Arial" w:cs="Arial" w:eastAsia="Arial" w:hAnsi="Arial"/>
          <w:b/>
          <w:bCs/>
          <w:color w:val="1B2A4A"/>
          <w:sz w:val="30"/>
          <w:szCs w:val="30"/>
        </w:rPr>
        <w:t xml:space="preserve">15. Scope Limitations and Explicit Non-Claims</w:t>
      </w:r>
    </w:p>
    <w:p>
      <w:pPr>
        <w:spacing w:after="120" w:line="276"/>
      </w:pPr>
      <w:r>
        <w:rPr>
          <w:rFonts w:ascii="Arial" w:cs="Arial" w:eastAsia="Arial" w:hAnsi="Arial"/>
          <w:sz w:val="22"/>
          <w:szCs w:val="22"/>
          <w:color w:val="000000"/>
        </w:rPr>
        <w:t xml:space="preserve">The following methodological constraints apply to this paper and the entire enforcement architecture series:</w:t>
      </w:r>
    </w:p>
    <w:p>
      <w:pPr>
        <w:numPr>
          <w:ilvl w:val="0"/>
          <w:numId w:val="1"/>
        </w:numPr>
        <w:spacing w:after="80" w:line="276"/>
      </w:pPr>
      <w:r>
        <w:rPr>
          <w:rFonts w:ascii="Arial" w:cs="Arial" w:eastAsia="Arial" w:hAnsi="Arial"/>
          <w:sz w:val="22"/>
          <w:szCs w:val="22"/>
        </w:rPr>
        <w:t xml:space="preserve">No classified sources or non-public government information were used in the preparation of this analysis. All sources are publicly available.</w:t>
      </w:r>
    </w:p>
    <w:p>
      <w:pPr>
        <w:numPr>
          <w:ilvl w:val="0"/>
          <w:numId w:val="1"/>
        </w:numPr>
        <w:spacing w:after="80" w:line="276"/>
      </w:pPr>
      <w:r>
        <w:rPr>
          <w:rFonts w:ascii="Arial" w:cs="Arial" w:eastAsia="Arial" w:hAnsi="Arial"/>
          <w:sz w:val="22"/>
          <w:szCs w:val="22"/>
        </w:rPr>
        <w:t xml:space="preserve">No access to actual Suspicious Activity Report (SAR) data. All SAR references are to publicly reported aggregates (FinCEN press releases, congressional testimony, published enforcement actions).</w:t>
      </w:r>
    </w:p>
    <w:p>
      <w:pPr>
        <w:numPr>
          <w:ilvl w:val="0"/>
          <w:numId w:val="1"/>
        </w:numPr>
        <w:spacing w:after="80" w:line="276"/>
      </w:pPr>
      <w:r>
        <w:rPr>
          <w:rFonts w:ascii="Arial" w:cs="Arial" w:eastAsia="Arial" w:hAnsi="Arial"/>
          <w:sz w:val="22"/>
          <w:szCs w:val="22"/>
        </w:rPr>
        <w:t xml:space="preserve">Scenario-based estimates (revenue degradation, forfeiture projections, cost inflation) are extrapolations from analogous enforcement precedents, not outputs of validated quantitative models.</w:t>
      </w:r>
    </w:p>
    <w:p>
      <w:pPr>
        <w:numPr>
          <w:ilvl w:val="0"/>
          <w:numId w:val="1"/>
        </w:numPr>
        <w:spacing w:after="80" w:line="276"/>
      </w:pPr>
      <w:r>
        <w:rPr>
          <w:rFonts w:ascii="Arial" w:cs="Arial" w:eastAsia="Arial" w:hAnsi="Arial"/>
          <w:sz w:val="22"/>
          <w:szCs w:val="22"/>
        </w:rPr>
        <w:t xml:space="preserve">No humanitarian impact assessment has been conducted. Proportionality analysis is identified as a mandatory record requirement (Section 12) but has not been performed for any specific designation scenario.</w:t>
      </w:r>
    </w:p>
    <w:p>
      <w:pPr>
        <w:numPr>
          <w:ilvl w:val="0"/>
          <w:numId w:val="1"/>
        </w:numPr>
        <w:spacing w:after="80" w:line="276"/>
      </w:pPr>
      <w:r>
        <w:rPr>
          <w:rFonts w:ascii="Arial" w:cs="Arial" w:eastAsia="Arial" w:hAnsi="Arial"/>
          <w:sz w:val="22"/>
          <w:szCs w:val="22"/>
        </w:rPr>
        <w:t xml:space="preserve">No field-validated intelligence on network topology (hawala networks, cartel financial architecture, procurement networks) was available. Network characterizations are derived from published government assessments and open-source reporting.</w:t>
      </w:r>
    </w:p>
    <w:p>
      <w:pPr>
        <w:numPr>
          <w:ilvl w:val="0"/>
          <w:numId w:val="1"/>
        </w:numPr>
        <w:spacing w:after="80" w:line="276"/>
      </w:pPr>
      <w:r>
        <w:rPr>
          <w:rFonts w:ascii="Arial" w:cs="Arial" w:eastAsia="Arial" w:hAnsi="Arial"/>
          <w:sz w:val="22"/>
          <w:szCs w:val="22"/>
        </w:rPr>
        <w:t xml:space="preserve">Cost estimates are illustrative staffing-only figures (GS-13/14 equivalents) excluding overhead, interagency coordination infrastructure, litigation support, contractor services, and classified system access. They are not program-level budget estimates.</w:t>
      </w:r>
    </w:p>
    <w:p>
      <w:pPr>
        <w:numPr>
          <w:ilvl w:val="0"/>
          <w:numId w:val="1"/>
        </w:numPr>
        <w:spacing w:after="80" w:line="276"/>
      </w:pPr>
      <w:r>
        <w:rPr>
          <w:rFonts w:ascii="Arial" w:cs="Arial" w:eastAsia="Arial" w:hAnsi="Arial"/>
          <w:sz w:val="22"/>
          <w:szCs w:val="22"/>
        </w:rPr>
        <w:t xml:space="preserve">Effectiveness metrics are proposed targets for assessment purposes, not empirically derived benchmarks.</w:t>
      </w:r>
    </w:p>
    <w:p>
      <w:pPr>
        <w:numPr>
          <w:ilvl w:val="0"/>
          <w:numId w:val="1"/>
        </w:numPr>
        <w:spacing w:after="80" w:line="276"/>
      </w:pPr>
      <w:r>
        <w:rPr>
          <w:rFonts w:ascii="Arial" w:cs="Arial" w:eastAsia="Arial" w:hAnsi="Arial"/>
          <w:sz w:val="22"/>
          <w:szCs w:val="22"/>
        </w:rPr>
        <w:t xml:space="preserve">This document does not constitute legal advice, an enforcement recommendation, or the views of any government entity.</w:t>
      </w:r>
    </w:p>
    <w:p>
      <w:pPr>
        <w:numPr>
          <w:ilvl w:val="0"/>
          <w:numId w:val="1"/>
        </w:numPr>
        <w:spacing w:after="80" w:line="276"/>
      </w:pPr>
      <w:r>
        <w:rPr>
          <w:rFonts w:ascii="Arial" w:cs="Arial" w:eastAsia="Arial" w:hAnsi="Arial"/>
          <w:sz w:val="22"/>
          <w:szCs w:val="22"/>
        </w:rPr>
        <w:t xml:space="preserve">Individual enforcement actions require case-specific record development, interagency legal consultation, humanitarian impact screening, and executive authorization at appropriate decision thresholds.</w:t>
      </w:r>
    </w:p>
    <w:p>
      <w:pPr>
        <w:pStyle w:val="Heading1"/>
        <w:spacing w:after="200" w:before="360"/>
      </w:pPr>
      <w:r>
        <w:rPr>
          <w:rFonts w:ascii="Arial" w:cs="Arial" w:eastAsia="Arial" w:hAnsi="Arial"/>
          <w:b/>
          <w:bCs/>
          <w:color w:val="1B2A4A"/>
          <w:sz w:val="30"/>
          <w:szCs w:val="30"/>
        </w:rPr>
        <w:t xml:space="preserve">16. Conclusion</w:t>
      </w:r>
    </w:p>
    <w:p>
      <w:pPr>
        <w:spacing w:after="120" w:line="276"/>
      </w:pPr>
      <w:r>
        <w:rPr>
          <w:rFonts w:ascii="Arial" w:cs="Arial" w:eastAsia="Arial" w:hAnsi="Arial"/>
          <w:sz w:val="22"/>
          <w:szCs w:val="22"/>
        </w:rPr>
        <w:t xml:space="preserve">This framework analyzes the legal basis for coordinated cross-domain enforcement against transnational illicit networks sharing financial infrastructure. The analytical premise—that shadow banking, hawala, and shell company infrastructure in overlapping jurisdictions serves multiple threat domains—is supported by documented financial intelligence. The universal statutory authorities (§ 5318A, § 5323, § 981(k)) apply across all three domains under existing law.</w:t>
      </w:r>
    </w:p>
    <w:p>
      <w:pPr>
        <w:spacing w:after="120" w:line="276"/>
      </w:pPr>
      <w:r>
        <w:rPr>
          <w:rFonts w:ascii="Arial" w:cs="Arial" w:eastAsia="Arial" w:hAnsi="Arial"/>
          <w:sz w:val="22"/>
          <w:szCs w:val="22"/>
        </w:rPr>
        <w:t xml:space="preserve">The framework does not recommend specific enforcement actions. Each proposed action requires case-specific administrative record development, interagency legal consultation, humanitarian impact screening, and executive authorization. Cross-domain designation requires independent evidentiary basis for each predicate; shared infrastructure co-location does not substitute for domain-specific record support.</w:t>
      </w:r>
    </w:p>
    <w:p>
      <w:pPr>
        <w:spacing w:after="120" w:line="276"/>
      </w:pPr>
      <w:r>
        <w:rPr>
          <w:rFonts w:ascii="Arial" w:cs="Arial" w:eastAsia="Arial" w:hAnsi="Arial"/>
          <w:sz w:val="22"/>
          <w:szCs w:val="22"/>
        </w:rPr>
        <w:t xml:space="preserve">The three companion papers (ARCH-03, CTF-01, CPF-02) provide domain-specific legal analysis. This document provides the integration logic for coordinated deployment, subject to the institutional throughput constraints analyzed in ESCALATE-01 and the targeting architecture maintained in SENI-01.</w:t>
      </w:r>
    </w:p>
    <w:p>
      <w:pPr>
        <w:spacing w:after="120" w:line="276"/>
      </w:pPr>
      <w:r>
        <w:rPr>
          <w:rFonts w:ascii="Arial" w:cs="Arial" w:eastAsia="Arial" w:hAnsi="Arial"/>
          <w:sz w:val="22"/>
          <w:szCs w:val="22"/>
        </w:rPr>
        <w:t xml:space="preserve"/>
      </w:r>
    </w:p>
    <w:p>
      <w:pPr>
        <w:spacing w:after="120" w:line="276"/>
        <w:jc w:val="center"/>
        <w:rPr>
          <w:b/>
          <w:bCs/>
          <w:color w:val="1B2A4A"/>
          <w:sz w:val="20"/>
          <w:szCs w:val="20"/>
        </w:rPr>
      </w:pPr>
      <w:r>
        <w:rPr>
          <w:rFonts w:ascii="Arial" w:cs="Arial" w:eastAsia="Arial" w:hAnsi="Arial"/>
          <w:b/>
          <w:bCs/>
          <w:color w:val="1B2A4A"/>
          <w:sz w:val="20"/>
          <w:szCs w:val="20"/>
        </w:rPr>
        <w:t xml:space="preserve">END OF DOCUMENT — WP-2026-UNIFIED-01 — APRIL 2026 — UNCLASSIFIED // OPEN SOURCE</w:t>
      </w:r>
    </w:p>
    <w:p>
      <w:pPr>
        <w:pStyle w:val="Heading1"/>
        <w:spacing w:after="200" w:before="360"/>
      </w:pPr>
      <w:r>
        <w:rPr>
          <w:rFonts w:ascii="Arial" w:cs="Arial" w:eastAsia="Arial" w:hAnsi="Arial"/>
          <w:b/>
          <w:bCs/>
          <w:color w:val="1B2A4A"/>
          <w:sz w:val="30"/>
          <w:szCs w:val="30"/>
        </w:rPr>
        <w:t xml:space="preserve">17. Series Position and Cross-References</w:t>
      </w:r>
    </w:p>
    <w:p>
      <w:pPr>
        <w:spacing w:after="120" w:line="276"/>
      </w:pPr>
      <w:r>
        <w:rPr>
          <w:rFonts w:ascii="Arial" w:cs="Arial" w:eastAsia="Arial" w:hAnsi="Arial"/>
          <w:b/>
          <w:bCs/>
          <w:sz w:val="22"/>
          <w:szCs w:val="22"/>
        </w:rPr>
        <w:t xml:space="preserve">Series designation: </w:t>
      </w:r>
      <w:r>
        <w:rPr>
          <w:rFonts w:ascii="Arial" w:cs="Arial" w:eastAsia="Arial" w:hAnsi="Arial"/>
          <w:sz w:val="22"/>
          <w:szCs w:val="22"/>
        </w:rPr>
        <w:t xml:space="preserve">WP-2026-UNIFIED-01</w:t>
      </w:r>
    </w:p>
    <w:p>
      <w:pPr>
        <w:spacing w:after="120" w:line="276"/>
      </w:pPr>
      <w:r>
        <w:rPr>
          <w:rFonts w:ascii="Arial" w:cs="Arial" w:eastAsia="Arial" w:hAnsi="Arial"/>
          <w:b/>
          <w:bCs/>
          <w:sz w:val="22"/>
          <w:szCs w:val="22"/>
        </w:rPr>
        <w:t xml:space="preserve">Series position: </w:t>
      </w:r>
      <w:r>
        <w:rPr>
          <w:rFonts w:ascii="Arial" w:cs="Arial" w:eastAsia="Arial" w:hAnsi="Arial"/>
          <w:sz w:val="22"/>
          <w:szCs w:val="22"/>
        </w:rPr>
        <w:t xml:space="preserve">03-enforcement-doctrine/ (integration layer)</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Upstream: </w:t>
      </w:r>
      <w:r>
        <w:rPr>
          <w:rFonts w:ascii="Arial" w:cs="Arial" w:eastAsia="Arial" w:hAnsi="Arial"/>
          <w:sz w:val="22"/>
          <w:szCs w:val="22"/>
        </w:rPr>
        <w:t xml:space="preserve">SIEGE-01 (seven-channel mechanism), PERSIST-01 (authority rails)</w:t>
      </w:r>
    </w:p>
    <w:p>
      <w:pPr>
        <w:spacing w:after="120" w:line="276"/>
      </w:pPr>
      <w:r>
        <w:rPr>
          <w:rFonts w:ascii="Arial" w:cs="Arial" w:eastAsia="Arial" w:hAnsi="Arial"/>
          <w:b/>
          <w:bCs/>
          <w:sz w:val="22"/>
          <w:szCs w:val="22"/>
        </w:rPr>
        <w:t xml:space="preserve">Downstream: </w:t>
      </w:r>
      <w:r>
        <w:rPr>
          <w:rFonts w:ascii="Arial" w:cs="Arial" w:eastAsia="Arial" w:hAnsi="Arial"/>
          <w:sz w:val="22"/>
          <w:szCs w:val="22"/>
        </w:rPr>
        <w:t xml:space="preserve">ARCH-03, CTF-01, CPF-02 (domain-specific implementation)</w:t>
      </w:r>
    </w:p>
    <w:p>
      <w:pPr>
        <w:spacing w:after="120" w:line="276"/>
      </w:pPr>
      <w:r>
        <w:rPr>
          <w:rFonts w:ascii="Arial" w:cs="Arial" w:eastAsia="Arial" w:hAnsi="Arial"/>
          <w:b/>
          <w:bCs/>
          <w:sz w:val="22"/>
          <w:szCs w:val="22"/>
        </w:rPr>
        <w:t xml:space="preserve">Cross-references: </w:t>
      </w:r>
      <w:r>
        <w:rPr>
          <w:rFonts w:ascii="Arial" w:cs="Arial" w:eastAsia="Arial" w:hAnsi="Arial"/>
          <w:sz w:val="22"/>
          <w:szCs w:val="22"/>
        </w:rPr>
        <w:t xml:space="preserve">ESCALATE-01 (institutional throughput), SENI-01 (targeting register), FISCAL-01 (forfeiture revenue). All WP-2026 series documents are publicly available at github.com/collingeorge/WP-2026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2" w:space="1"/>
      </w:pBdr>
      <w:spacing w:before="80"/>
      <w:jc w:val="center"/>
    </w:pPr>
    <w:r>
      <w:rPr>
        <w:rFonts w:ascii="Arial" w:cs="Arial" w:eastAsia="Arial" w:hAnsi="Arial"/>
        <w:color w:val="4A5568"/>
        <w:sz w:val="18"/>
        <w:szCs w:val="18"/>
      </w:rPr>
      <w:t xml:space="preserve">WP-2026-UNIFIED-01  •  April 2026     Page </w:t>
    </w:r>
    <w:r>
      <w:rPr>
        <w:rFonts w:ascii="Arial" w:cs="Arial" w:eastAsia="Arial" w:hAnsi="Arial"/>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1"/>
      </w:pBdr>
      <w:spacing w:after="120"/>
    </w:pPr>
    <w:r>
      <w:rPr>
        <w:rFonts w:ascii="Arial" w:cs="Arial" w:eastAsia="Arial" w:hAnsi="Arial"/>
        <w:caps/>
        <w:color w:val="4A5568"/>
        <w:sz w:val="16"/>
        <w:szCs w:val="16"/>
      </w:rPr>
      <w:t xml:space="preserve">WP-2026-UNIFIED-01  •  UNCLASSIFIED // OPEN SOURCE  •  CENTER FOR COMPETITIVE STATECRAFT AND STRATEGIC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2026-04-06T03:15:50.341Z</dcterms:created>
  <dcterms:modified xsi:type="dcterms:W3CDTF">2026-04-06T03:15:50.342Z</dcterms:modified>
</cp:coreProperties>
</file>

<file path=docProps/custom.xml><?xml version="1.0" encoding="utf-8"?>
<Properties xmlns="http://schemas.openxmlformats.org/officeDocument/2006/custom-properties" xmlns:vt="http://schemas.openxmlformats.org/officeDocument/2006/docPropsVTypes"/>
</file>