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WP-2026-CYBER-01  |  v4.0 FINAL</w:t>
      </w:r>
    </w:p>
    <w:p>
      <w:pPr>
        <w:pBdr>
          <w:bottom w:val="single" w:color="1B2A4A" w:sz="6" w:space="8"/>
        </w:pBdr>
        <w:spacing w:after="80"/>
      </w:pPr>
      <w:r>
        <w:rPr>
          <w:rFonts w:ascii="Arial" w:cs="Arial" w:eastAsia="Arial" w:hAnsi="Arial"/>
          <w:b/>
          <w:bCs/>
          <w:color w:val="1B2A4A"/>
          <w:sz w:val="36"/>
          <w:szCs w:val="36"/>
        </w:rPr>
        <w:t xml:space="preserve">U.S. Cybersecurity Execution Gap: Infrastructure Defense, Institutional Capacity, and Operational Posture</w:t>
      </w:r>
    </w:p>
    <w:p>
      <w:pPr>
        <w:spacing w:after="400" w:before="0" w:line="276"/>
      </w:pPr>
      <w:r>
        <w:rPr>
          <w:rFonts w:ascii="Arial" w:cs="Arial" w:eastAsia="Arial" w:hAnsi="Arial"/>
          <w:color w:val="1B2A4A"/>
          <w:sz w:val="26"/>
          <w:szCs w:val="26"/>
        </w:rPr>
        <w:t xml:space="preserve">An Operational Policy Framework for 2026–2033</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FOR PUBLIC DISTRIBUTION</w:t>
      </w:r>
    </w:p>
    <w:p>
      <w:r>
        <w:br w:type="page"/>
      </w:r>
    </w:p>
    <w:p>
      <w:pPr>
        <w:spacing w:after="200" w:line="276"/>
      </w:pPr>
      <w:r>
        <w:rPr>
          <w:rFonts w:ascii="Arial" w:hAnsi="Arial"/>
          <w:sz w:val="26"/>
          <w:szCs w:val="26"/>
          <w:color w:val="1B2A4A"/>
          <w:b/>
        </w:rPr>
        <w:t xml:space="preserve">ABSTRACT</w:t>
      </w:r>
    </w:p>
    <w:p>
      <w:pPr>
        <w:spacing w:after="200" w:line="276"/>
      </w:pPr>
      <w:r>
        <w:rPr>
          <w:rFonts w:ascii="Arial" w:hAnsi="Arial"/>
          <w:sz w:val="22"/>
          <w:szCs w:val="22"/>
          <w:color w:val="1B2A4A"/>
        </w:rPr>
        <w:t xml:space="preserve">The United States possesses comprehensive cybersecurity frameworks, offensive doctrine, and technical standards—yet persistent nation-state intrusions from China, Russia, Iran, and North Korea continue to penetrate critical infrastructure at scale. This paper argues that the central problem is an execution gap: the distance between what existing frameworks require and what institutions actually deliver. Using policy analysis of publicly available government sources, congressional materials, joint cybersecurity advisories, and peer-reviewed research, the paper identifies a structural political-economy failure in which concentrated compliance costs routinely defeat diffuse security benefits across fragmented institutional authorities. Key findings include: (1) PRC actors have pre-positioned within U.S. energy, water, telecom, and transportation environments for potential wartime disruption; (2) CISA and NIST have lost approximately one-third and 20% of their workforces respectively during elevated threat activity; (3) critical infrastructure sectors including water, healthcare, and telecom operate under inadequate or nonexistent cybersecurity mandates; and (4) the highest-confidence near-term actions are known but lack the enforcement extension mechanisms to reach beyond federal agencies. The paper concludes that closing the execution gap requires extending known requirements to the broader critical infrastructure base through enforceable grant conditions and sector-specific minimums, paired with funding that prevents mandates from becoming unfunded liabilities for small operators.</w:t>
      </w:r>
    </w:p>
    <w:p>
      <w:pPr>
        <w:pStyle w:val="Heading1"/>
        <w:spacing w:after="240" w:before="360"/>
      </w:pPr>
      <w:r>
        <w:rPr>
          <w:rFonts w:ascii="Arial" w:cs="Arial" w:eastAsia="Arial" w:hAnsi="Arial"/>
          <w:b/>
          <w:bCs/>
          <w:color w:val="1B2A4A"/>
          <w:sz w:val="32"/>
          <w:szCs w:val="32"/>
        </w:rPr>
        <w:t xml:space="preserve">Executive Summary</w:t>
      </w:r>
    </w:p>
    <w:p>
      <w:pPr>
        <w:spacing w:after="200" w:before="0" w:line="276"/>
      </w:pPr>
      <w:r>
        <w:rPr>
          <w:rFonts w:ascii="Arial" w:cs="Arial" w:eastAsia="Arial" w:hAnsi="Arial"/>
          <w:sz w:val="22"/>
          <w:szCs w:val="22"/>
        </w:rPr>
        <w:t xml:space="preserve">The United States does not lack cybersecurity frameworks, doctrine, or offensive capability. It lacks consistent execution, institutional capacity, and enforceable coordination across critical infrastructure sectors facing persistent nation-state intrusion. The near-term policy priority is not theoretical innovation but operational hardening of real systems under existing authorities—while the institutions responsible for that hardening are themselves being reduced in capacity.</w:t>
      </w:r>
    </w:p>
    <w:p>
      <w:pPr>
        <w:spacing w:after="200" w:before="0" w:line="276"/>
      </w:pPr>
      <w:r>
        <w:rPr>
          <w:rFonts w:ascii="Arial" w:cs="Arial" w:eastAsia="Arial" w:hAnsi="Arial"/>
          <w:sz w:val="22"/>
          <w:szCs w:val="22"/>
        </w:rPr>
        <w:t xml:space="preserve">The ODNI’s 2025 and 2026 Annual Threat Assessments identify China as the most active and persistent cyber threat to U.S. government, private-sector, and critical infrastructure networks.</w:t>
      </w:r>
      <w:r>
        <w:rPr>
          <w:rFonts w:ascii="Arial" w:cs="Arial" w:eastAsia="Arial" w:hAnsi="Arial"/>
          <w:color w:val="1B2A4A"/>
          <w:sz w:val="16"/>
          <w:szCs w:val="16"/>
          <w:vertAlign w:val="superscript"/>
        </w:rPr>
        <w:t xml:space="preserve">1</w:t>
      </w:r>
      <w:r>
        <w:rPr>
          <w:rFonts w:ascii="Arial" w:cs="Arial" w:eastAsia="Arial" w:hAnsi="Arial"/>
          <w:sz w:val="22"/>
          <w:szCs w:val="22"/>
        </w:rPr>
        <w:t xml:space="preserve"> PRC-affiliated actors have pre-positioned within U.S. energy, water, telecom, and transportation environments with the capability to disrupt operations during a crisis.</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Russia, Iran, and DPRK maintain active offensive cyber programs targeting U.S. systems across espionage, disruption, and revenue generation.</w:t>
      </w:r>
      <w:r>
        <w:rPr>
          <w:rFonts w:ascii="Arial" w:cs="Arial" w:eastAsia="Arial" w:hAnsi="Arial"/>
          <w:color w:val="1B2A4A"/>
          <w:sz w:val="16"/>
          <w:szCs w:val="16"/>
          <w:vertAlign w:val="superscript"/>
        </w:rPr>
        <w:t xml:space="preserve">1,3,4</w:t>
      </w:r>
    </w:p>
    <w:p>
      <w:pPr>
        <w:spacing w:after="200" w:before="0" w:line="276"/>
      </w:pPr>
      <w:r>
        <w:rPr>
          <w:rFonts w:ascii="Arial" w:cs="Arial" w:eastAsia="Arial" w:hAnsi="Arial"/>
          <w:sz w:val="22"/>
          <w:szCs w:val="22"/>
        </w:rPr>
        <w:t xml:space="preserve">This paper argues that the central U.S. cybersecurity problem is an execution gap—the distance between what existing frameworks require and what institutions actually deliver. The gap persists because of a structural political-economy problem: cybersecurity compliance costs are concentrated and immediate, while the benefits of improved security are diffuse, probabilistic, and largely invisible when successful. The paper’s primary policy contribution is not identifying what to do—the technical measures are known—but establishing the enforcement and extension mechanisms that move known requirements from federal agencies to the broader critical infrastructure base, paired with funding pathways that prevent mandates from becoming unfunded liabilities. International precedents, including the EU’s NIS2 Directive and Australia’s SOCI Act, demonstrate that cross-sector enforceable minimums are achievable in comparable advanced democracies.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KEY JUDGMENTS</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1. </w:t>
            </w:r>
            <w:r>
              <w:rPr>
                <w:rFonts w:ascii="Arial" w:cs="Arial" w:eastAsia="Arial" w:hAnsi="Arial"/>
                <w:color w:val="1B2A4A"/>
                <w:sz w:val="22"/>
                <w:szCs w:val="22"/>
              </w:rPr>
              <w:t xml:space="preserve">The cyber threat to U.S. critical infrastructure increasingly includes pre-positioning for wartime disruption in addition to espionage. PRC actors have maintained access to U.S. infrastructure environments for five or more years in some cases, using techniques designed to evade detection. This is not a future risk; it is a present condition. (High confidence.)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2. </w:t>
            </w:r>
            <w:r>
              <w:rPr>
                <w:rFonts w:ascii="Arial" w:cs="Arial" w:eastAsia="Arial" w:hAnsi="Arial"/>
                <w:color w:val="1B2A4A"/>
                <w:sz w:val="22"/>
                <w:szCs w:val="22"/>
              </w:rPr>
              <w:t xml:space="preserve">The United States does not lack cybersecurity frameworks. NIST CSF 2.0, SP 800-53, CMMC, NERC CIP, and CISA’s Cybersecurity Performance Goals provide comprehensive technical guidance. The failure is in consistent adoption, enforcement, and institutional capacity to support implementation across 16 critical infrastructure sectors. (High confidence.)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3. </w:t>
            </w:r>
            <w:r>
              <w:rPr>
                <w:rFonts w:ascii="Arial" w:cs="Arial" w:eastAsia="Arial" w:hAnsi="Arial"/>
                <w:color w:val="1B2A4A"/>
                <w:sz w:val="22"/>
                <w:szCs w:val="22"/>
              </w:rPr>
              <w:t xml:space="preserve">CISA—the designated national coordinator for critical infrastructure cybersecurity—has lost approximately one-third of its workforce since January 2025. NIST’s Computer Security Division has lost its longtime chief and an estimated 20% of its federal staff. These reductions are occurring during a period of unusually intense and sustained nation-state cyber activity against U.S. infrastructure. (Moderate confidence; workforce figures are estimates derived from public reporting.)</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4. </w:t>
            </w:r>
            <w:r>
              <w:rPr>
                <w:rFonts w:ascii="Arial" w:cs="Arial" w:eastAsia="Arial" w:hAnsi="Arial"/>
                <w:color w:val="1B2A4A"/>
                <w:sz w:val="22"/>
                <w:szCs w:val="22"/>
              </w:rPr>
              <w:t xml:space="preserve">Healthcare is the most operationally exposed sector. Ransomware attacks on hospitals are associated with increased in-hospital mortality, and regulatory response—including the proposed HIPAA Security Rule update—remains caught between ambition and political uncertainty. (High confidence.)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5. </w:t>
            </w:r>
            <w:r>
              <w:rPr>
                <w:rFonts w:ascii="Arial" w:cs="Arial" w:eastAsia="Arial" w:hAnsi="Arial"/>
                <w:color w:val="1B2A4A"/>
                <w:sz w:val="22"/>
                <w:szCs w:val="22"/>
              </w:rPr>
              <w:t xml:space="preserve">Offensive cyber capability under U.S. Cyber Command provides a genuine asymmetric advantage through defend-forward operations and allied hunt-forward missions. However, offensive operations do not substitute for domestic infrastructure defense. (High confidence.)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6. </w:t>
            </w:r>
            <w:r>
              <w:rPr>
                <w:rFonts w:ascii="Arial" w:cs="Arial" w:eastAsia="Arial" w:hAnsi="Arial"/>
                <w:color w:val="1B2A4A"/>
                <w:sz w:val="22"/>
                <w:szCs w:val="22"/>
              </w:rPr>
              <w:t xml:space="preserve">The highest-confidence near-term policy contribution is not identifying what to do—the measures are known—but establishing the enforcement and extension mechanisms that move known requirements from federal agencies to the broader critical infrastructure base through grant conditions, participation requirements, and enforceable minimums, paired with funding that prevents mandates from becoming unfunded liabilities for small operators. (High confidence.)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7. </w:t>
            </w:r>
            <w:r>
              <w:rPr>
                <w:rFonts w:ascii="Arial" w:cs="Arial" w:eastAsia="Arial" w:hAnsi="Arial"/>
                <w:color w:val="1B2A4A"/>
                <w:sz w:val="22"/>
                <w:szCs w:val="22"/>
              </w:rPr>
              <w:t xml:space="preserve">The private sector owns and operates the large majority of U.S. critical infrastructure. Cybersecurity policy must operate through that ownership reality, not around it. (High confidence.)</w:t>
            </w:r>
          </w:p>
        </w:tc>
      </w:tr>
    </w:tbl>
    <w:p>
      <w:r>
        <w:br w:type="page"/>
      </w:r>
    </w:p>
    <w:p>
      <w:pPr>
        <w:pStyle w:val="Heading1"/>
        <w:spacing w:after="240" w:before="360"/>
      </w:pPr>
      <w:r>
        <w:rPr>
          <w:rFonts w:ascii="Arial" w:cs="Arial" w:eastAsia="Arial" w:hAnsi="Arial"/>
          <w:b/>
          <w:bCs/>
          <w:color w:val="1B2A4A"/>
          <w:sz w:val="32"/>
          <w:szCs w:val="32"/>
        </w:rPr>
        <w:t xml:space="preserve">Section I — The Threat Environment Is Persistent and Structural</w:t>
      </w:r>
    </w:p>
    <w:p>
      <w:pPr>
        <w:spacing w:after="200" w:before="0" w:line="276"/>
      </w:pPr>
      <w:r>
        <w:rPr>
          <w:rFonts w:ascii="Arial" w:cs="Arial" w:eastAsia="Arial" w:hAnsi="Arial"/>
          <w:sz w:val="22"/>
          <w:szCs w:val="22"/>
        </w:rPr>
        <w:t xml:space="preserve">The U.S. Intelligence Community assesses China as the most active and persistent cyber threat to the United States.</w:t>
      </w:r>
      <w:r>
        <w:rPr>
          <w:rFonts w:ascii="Arial" w:cs="Arial" w:eastAsia="Arial" w:hAnsi="Arial"/>
          <w:color w:val="1B2A4A"/>
          <w:sz w:val="16"/>
          <w:szCs w:val="16"/>
          <w:vertAlign w:val="superscript"/>
        </w:rPr>
        <w:t xml:space="preserve">1</w:t>
      </w:r>
      <w:r>
        <w:rPr>
          <w:rFonts w:ascii="Arial" w:cs="Arial" w:eastAsia="Arial" w:hAnsi="Arial"/>
          <w:sz w:val="22"/>
          <w:szCs w:val="22"/>
        </w:rPr>
        <w:t xml:space="preserve"> This assessment has been consistent across multiple ODNI Annual Threat Assessments and is supported by joint CISA/NSA/FBI advisories documenting confirmed PRC intrusions across communications, energy, transportation, and water infrastructure.</w:t>
      </w:r>
      <w:r>
        <w:rPr>
          <w:rFonts w:ascii="Arial" w:cs="Arial" w:eastAsia="Arial" w:hAnsi="Arial"/>
          <w:color w:val="1B2A4A"/>
          <w:sz w:val="16"/>
          <w:szCs w:val="16"/>
          <w:vertAlign w:val="superscript"/>
        </w:rPr>
        <w:t xml:space="preserve">2</w:t>
      </w:r>
    </w:p>
    <w:p>
      <w:pPr>
        <w:pStyle w:val="Heading2"/>
        <w:spacing w:after="180" w:before="280"/>
      </w:pPr>
      <w:r>
        <w:rPr>
          <w:rFonts w:ascii="Arial" w:cs="Arial" w:eastAsia="Arial" w:hAnsi="Arial"/>
          <w:b/>
          <w:bCs/>
          <w:color w:val="1B2A4A"/>
          <w:sz w:val="26"/>
          <w:szCs w:val="26"/>
        </w:rPr>
        <w:t xml:space="preserve">China: Pre-Positioning for Disruption</w:t>
      </w:r>
    </w:p>
    <w:p>
      <w:pPr>
        <w:spacing w:after="200" w:before="0" w:line="276"/>
      </w:pPr>
      <w:r>
        <w:rPr>
          <w:rFonts w:ascii="Arial" w:cs="Arial" w:eastAsia="Arial" w:hAnsi="Arial"/>
          <w:sz w:val="22"/>
          <w:szCs w:val="22"/>
        </w:rPr>
        <w:t xml:space="preserve">PRC-affiliated Volt Typhoon actors have compromised IT environments across multiple critical infrastructure sectors in activity assessed by U.S. authorities as consistent with pre-positioning for disruptive operations during a crisis.</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CISA, NSA, and FBI confirmed access was maintained for at least five years in some environments using living-off-the-land techniques that blended with legitimate system activity.</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The FBI disrupted the associated KV Botnet in January 2024 through a court-authorized operation, but the actors rebuilt command-and-control infrastructure within months.</w:t>
      </w:r>
      <w:r>
        <w:rPr>
          <w:rFonts w:ascii="Arial" w:cs="Arial" w:eastAsia="Arial" w:hAnsi="Arial"/>
          <w:color w:val="1B2A4A"/>
          <w:sz w:val="16"/>
          <w:szCs w:val="16"/>
          <w:vertAlign w:val="superscript"/>
        </w:rPr>
        <w:t xml:space="preserve">5</w:t>
      </w:r>
    </w:p>
    <w:p>
      <w:pPr>
        <w:spacing w:after="200" w:before="0" w:line="276"/>
      </w:pPr>
      <w:r>
        <w:rPr>
          <w:rFonts w:ascii="Arial" w:cs="Arial" w:eastAsia="Arial" w:hAnsi="Arial"/>
          <w:sz w:val="22"/>
          <w:szCs w:val="22"/>
        </w:rPr>
        <w:t xml:space="preserve">The Salt Typhoon campaign compromised at least nine U.S. telecom carriers, including AT&amp;T, Verizon, and T-Mobile, accessing lawful intercept systems mandated under CALEA.</w:t>
      </w:r>
      <w:r>
        <w:rPr>
          <w:rFonts w:ascii="Arial" w:cs="Arial" w:eastAsia="Arial" w:hAnsi="Arial"/>
          <w:color w:val="1B2A4A"/>
          <w:sz w:val="16"/>
          <w:szCs w:val="16"/>
          <w:vertAlign w:val="superscript"/>
        </w:rPr>
        <w:t xml:space="preserve">6</w:t>
      </w:r>
      <w:r>
        <w:rPr>
          <w:rFonts w:ascii="Arial" w:cs="Arial" w:eastAsia="Arial" w:hAnsi="Arial"/>
          <w:sz w:val="22"/>
          <w:szCs w:val="22"/>
        </w:rPr>
        <w:t xml:space="preserve"> The FBI confirmed over 200 organizations in 80 countries were targeted.</w:t>
      </w:r>
      <w:r>
        <w:rPr>
          <w:rFonts w:ascii="Arial" w:cs="Arial" w:eastAsia="Arial" w:hAnsi="Arial"/>
          <w:color w:val="1B2A4A"/>
          <w:sz w:val="16"/>
          <w:szCs w:val="16"/>
          <w:vertAlign w:val="superscript"/>
        </w:rPr>
        <w:t xml:space="preserve">7</w:t>
      </w:r>
      <w:r>
        <w:rPr>
          <w:rFonts w:ascii="Arial" w:cs="Arial" w:eastAsia="Arial" w:hAnsi="Arial"/>
          <w:sz w:val="22"/>
          <w:szCs w:val="22"/>
        </w:rPr>
        <w:t xml:space="preserve"> As of 2025 public reporting, full excision of Salt Typhoon from telecom networks had not been publicly confirmed.</w:t>
      </w:r>
      <w:r>
        <w:rPr>
          <w:rFonts w:ascii="Arial" w:cs="Arial" w:eastAsia="Arial" w:hAnsi="Arial"/>
          <w:color w:val="1B2A4A"/>
          <w:sz w:val="16"/>
          <w:szCs w:val="16"/>
          <w:vertAlign w:val="superscript"/>
        </w:rPr>
        <w:t xml:space="preserve">8</w:t>
      </w:r>
    </w:p>
    <w:p>
      <w:pPr>
        <w:spacing w:after="200" w:before="0" w:line="276"/>
      </w:pPr>
      <w:r>
        <w:rPr>
          <w:rFonts w:ascii="Arial" w:cs="Arial" w:eastAsia="Arial" w:hAnsi="Arial"/>
          <w:sz w:val="22"/>
          <w:szCs w:val="22"/>
        </w:rPr>
        <w:t xml:space="preserve">Flax Typhoon operated through a botnet of over 260,000 compromised IoT devices attributed to Beijing-based Integrity Technology Group, which was sanctioned by OFAC in January 2025.</w:t>
      </w:r>
      <w:r>
        <w:rPr>
          <w:rFonts w:ascii="Arial" w:cs="Arial" w:eastAsia="Arial" w:hAnsi="Arial"/>
          <w:color w:val="1B2A4A"/>
          <w:sz w:val="16"/>
          <w:szCs w:val="16"/>
          <w:vertAlign w:val="superscript"/>
        </w:rPr>
        <w:t xml:space="preserve">9</w:t>
      </w:r>
      <w:r>
        <w:rPr>
          <w:rFonts w:ascii="Arial" w:cs="Arial" w:eastAsia="Arial" w:hAnsi="Arial"/>
          <w:sz w:val="22"/>
          <w:szCs w:val="22"/>
        </w:rPr>
        <w:t xml:space="preserve"> Public reporting indicates Silk Typhoon shifted toward cloud and managed service provider compromises, including incidents affecting Treasury-linked and enterprise cloud environments.</w:t>
      </w:r>
      <w:r>
        <w:rPr>
          <w:rFonts w:ascii="Arial" w:cs="Arial" w:eastAsia="Arial" w:hAnsi="Arial"/>
          <w:color w:val="1B2A4A"/>
          <w:sz w:val="16"/>
          <w:szCs w:val="16"/>
          <w:vertAlign w:val="superscript"/>
        </w:rPr>
        <w:t xml:space="preserve">10</w:t>
      </w:r>
      <w:r>
        <w:rPr>
          <w:rFonts w:ascii="Arial" w:cs="Arial" w:eastAsia="Arial" w:hAnsi="Arial"/>
          <w:sz w:val="22"/>
          <w:szCs w:val="22"/>
        </w:rPr>
        <w:t xml:space="preserve"> China also operates SIGINT collection facilities in Cuba, including sites identified by CSIS, extending PRC intelligence reach into the Western Hemisphere.</w:t>
      </w:r>
      <w:r>
        <w:rPr>
          <w:rFonts w:ascii="Arial" w:cs="Arial" w:eastAsia="Arial" w:hAnsi="Arial"/>
          <w:color w:val="1B2A4A"/>
          <w:sz w:val="16"/>
          <w:szCs w:val="16"/>
          <w:vertAlign w:val="superscript"/>
        </w:rPr>
        <w:t xml:space="preserve">17</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The PRC cyber threat is not theoretical or prospective. It is a present-tense operational condition that should inform budget, staffing, and enforcement decisions across all critical infrastructure sectors.</w:t>
      </w:r>
    </w:p>
    <w:p>
      <w:pPr>
        <w:pStyle w:val="Heading2"/>
        <w:spacing w:after="180" w:before="280"/>
      </w:pPr>
      <w:r>
        <w:rPr>
          <w:rFonts w:ascii="Arial" w:cs="Arial" w:eastAsia="Arial" w:hAnsi="Arial"/>
          <w:b/>
          <w:bCs/>
          <w:color w:val="1B2A4A"/>
          <w:sz w:val="26"/>
          <w:szCs w:val="26"/>
        </w:rPr>
        <w:t xml:space="preserve">Russia: Infrastructure Targeting and Hacktivist Proxies</w:t>
      </w:r>
    </w:p>
    <w:p>
      <w:pPr>
        <w:spacing w:after="200" w:before="0" w:line="276"/>
      </w:pPr>
      <w:r>
        <w:rPr>
          <w:rFonts w:ascii="Arial" w:cs="Arial" w:eastAsia="Arial" w:hAnsi="Arial"/>
          <w:sz w:val="22"/>
          <w:szCs w:val="22"/>
        </w:rPr>
        <w:t xml:space="preserve">The FBI attributed exploitation of Cisco Smart Install vulnerabilities to FSB Center 16, which collected configuration files from thousands of U.S. networking devices.</w:t>
      </w:r>
      <w:r>
        <w:rPr>
          <w:rFonts w:ascii="Arial" w:cs="Arial" w:eastAsia="Arial" w:hAnsi="Arial"/>
          <w:color w:val="1B2A4A"/>
          <w:sz w:val="16"/>
          <w:szCs w:val="16"/>
          <w:vertAlign w:val="superscript"/>
        </w:rPr>
        <w:t xml:space="preserve">11</w:t>
      </w:r>
      <w:r>
        <w:rPr>
          <w:rFonts w:ascii="Arial" w:cs="Arial" w:eastAsia="Arial" w:hAnsi="Arial"/>
          <w:sz w:val="22"/>
          <w:szCs w:val="22"/>
        </w:rPr>
        <w:t xml:space="preserve"> GRU Unit 29155 conducted extensive domain scanning across NATO member networks.</w:t>
      </w:r>
      <w:r>
        <w:rPr>
          <w:rFonts w:ascii="Arial" w:cs="Arial" w:eastAsia="Arial" w:hAnsi="Arial"/>
          <w:color w:val="1B2A4A"/>
          <w:sz w:val="16"/>
          <w:szCs w:val="16"/>
          <w:vertAlign w:val="superscript"/>
        </w:rPr>
        <w:t xml:space="preserve">12</w:t>
      </w:r>
      <w:r>
        <w:rPr>
          <w:rFonts w:ascii="Arial" w:cs="Arial" w:eastAsia="Arial" w:hAnsi="Arial"/>
          <w:sz w:val="22"/>
          <w:szCs w:val="22"/>
        </w:rPr>
        <w:t xml:space="preserve"> Pro-Russia hacktivists were reported to have accessed or attempted to access SCADA-linked environments through unsecured VNC connections, with some groups assessed as receiving indirect Russian government support.</w:t>
      </w:r>
      <w:r>
        <w:rPr>
          <w:rFonts w:ascii="Arial" w:cs="Arial" w:eastAsia="Arial" w:hAnsi="Arial"/>
          <w:color w:val="1B2A4A"/>
          <w:sz w:val="16"/>
          <w:szCs w:val="16"/>
          <w:vertAlign w:val="superscript"/>
        </w:rPr>
        <w:t xml:space="preserve">13</w:t>
      </w:r>
    </w:p>
    <w:p>
      <w:pPr>
        <w:pStyle w:val="Heading2"/>
        <w:spacing w:after="180" w:before="280"/>
      </w:pPr>
      <w:r>
        <w:rPr>
          <w:rFonts w:ascii="Arial" w:cs="Arial" w:eastAsia="Arial" w:hAnsi="Arial"/>
          <w:b/>
          <w:bCs/>
          <w:color w:val="1B2A4A"/>
          <w:sz w:val="26"/>
          <w:szCs w:val="26"/>
        </w:rPr>
        <w:t xml:space="preserve">Iran: Low-Sophistication, High-Consequence OT Attacks</w:t>
      </w:r>
    </w:p>
    <w:p>
      <w:pPr>
        <w:spacing w:after="200" w:before="0" w:line="276"/>
      </w:pPr>
      <w:r>
        <w:rPr>
          <w:rFonts w:ascii="Arial" w:cs="Arial" w:eastAsia="Arial" w:hAnsi="Arial"/>
          <w:sz w:val="22"/>
          <w:szCs w:val="22"/>
        </w:rPr>
        <w:t xml:space="preserve">IRGC-affiliated CyberAv3ngers compromised at least 75 Unitronics PLCs, including 34 in the water/wastewater sector, by exploiting default passwords on internet-accessible devices.</w:t>
      </w:r>
      <w:r>
        <w:rPr>
          <w:rFonts w:ascii="Arial" w:cs="Arial" w:eastAsia="Arial" w:hAnsi="Arial"/>
          <w:color w:val="1B2A4A"/>
          <w:sz w:val="16"/>
          <w:szCs w:val="16"/>
          <w:vertAlign w:val="superscript"/>
        </w:rPr>
        <w:t xml:space="preserve">14</w:t>
      </w:r>
      <w:r>
        <w:rPr>
          <w:rFonts w:ascii="Arial" w:cs="Arial" w:eastAsia="Arial" w:hAnsi="Arial"/>
          <w:sz w:val="22"/>
          <w:szCs w:val="22"/>
        </w:rPr>
        <w:t xml:space="preserve"> The attack required limited technical sophistication but demonstrated that minimal capability can produce operational consequences in sectors with weak baseline security.</w:t>
      </w:r>
    </w:p>
    <w:p>
      <w:pPr>
        <w:pStyle w:val="Heading2"/>
        <w:spacing w:after="180" w:before="280"/>
      </w:pPr>
      <w:r>
        <w:rPr>
          <w:rFonts w:ascii="Arial" w:cs="Arial" w:eastAsia="Arial" w:hAnsi="Arial"/>
          <w:b/>
          <w:bCs/>
          <w:color w:val="1B2A4A"/>
          <w:sz w:val="26"/>
          <w:szCs w:val="26"/>
        </w:rPr>
        <w:t xml:space="preserve">DPRK: Cybercrime as State Revenue</w:t>
      </w:r>
    </w:p>
    <w:p>
      <w:pPr>
        <w:spacing w:after="200" w:before="0" w:line="276"/>
      </w:pPr>
      <w:r>
        <w:rPr>
          <w:rFonts w:ascii="Arial" w:cs="Arial" w:eastAsia="Arial" w:hAnsi="Arial"/>
          <w:sz w:val="22"/>
          <w:szCs w:val="22"/>
        </w:rPr>
        <w:t xml:space="preserve">The FBI attributed the $1.5 billion Bybit Ethereum theft to the DPRK-linked Lazarus Group.</w:t>
      </w:r>
      <w:r>
        <w:rPr>
          <w:rFonts w:ascii="Arial" w:cs="Arial" w:eastAsia="Arial" w:hAnsi="Arial"/>
          <w:color w:val="1B2A4A"/>
          <w:sz w:val="16"/>
          <w:szCs w:val="16"/>
          <w:vertAlign w:val="superscript"/>
        </w:rPr>
        <w:t xml:space="preserve">15</w:t>
      </w:r>
      <w:r>
        <w:rPr>
          <w:rFonts w:ascii="Arial" w:cs="Arial" w:eastAsia="Arial" w:hAnsi="Arial"/>
          <w:sz w:val="22"/>
          <w:szCs w:val="22"/>
        </w:rPr>
        <w:t xml:space="preserve"> ODNI testimony indicated North Korea stole an estimated $2 billion in cryptocurrency in 2025.</w:t>
      </w:r>
      <w:r>
        <w:rPr>
          <w:rFonts w:ascii="Arial" w:cs="Arial" w:eastAsia="Arial" w:hAnsi="Arial"/>
          <w:color w:val="1B2A4A"/>
          <w:sz w:val="16"/>
          <w:szCs w:val="16"/>
          <w:vertAlign w:val="superscript"/>
        </w:rPr>
        <w:t xml:space="preserve">1</w:t>
      </w:r>
      <w:r>
        <w:rPr>
          <w:rFonts w:ascii="Arial" w:cs="Arial" w:eastAsia="Arial" w:hAnsi="Arial"/>
          <w:sz w:val="22"/>
          <w:szCs w:val="22"/>
        </w:rPr>
        <w:t xml:space="preserve"> DPRK IT worker fraud programs have escalated from impersonation to data extortion, with operatives placed at over 300 U.S. companies.</w:t>
      </w:r>
      <w:r>
        <w:rPr>
          <w:rFonts w:ascii="Arial" w:cs="Arial" w:eastAsia="Arial" w:hAnsi="Arial"/>
          <w:color w:val="1B2A4A"/>
          <w:sz w:val="16"/>
          <w:szCs w:val="16"/>
          <w:vertAlign w:val="superscript"/>
        </w:rPr>
        <w:t xml:space="preserve">16</w:t>
      </w:r>
    </w:p>
    <w:p>
      <w:r>
        <w:br w:type="page"/>
      </w:r>
    </w:p>
    <w:p>
      <w:pPr>
        <w:pStyle w:val="Heading1"/>
        <w:spacing w:after="240" w:before="360"/>
      </w:pPr>
      <w:r>
        <w:rPr>
          <w:rFonts w:ascii="Arial" w:cs="Arial" w:eastAsia="Arial" w:hAnsi="Arial"/>
          <w:b/>
          <w:bCs/>
          <w:color w:val="1B2A4A"/>
          <w:sz w:val="32"/>
          <w:szCs w:val="32"/>
        </w:rPr>
        <w:t xml:space="preserve">Section II — What the U.S. Cybersecurity System Actually Looks Like</w:t>
      </w:r>
    </w:p>
    <w:p>
      <w:pPr>
        <w:spacing w:after="200" w:before="0" w:line="276"/>
      </w:pPr>
      <w:r>
        <w:rPr>
          <w:rFonts w:ascii="Arial" w:cs="Arial" w:eastAsia="Arial" w:hAnsi="Arial"/>
          <w:sz w:val="22"/>
          <w:szCs w:val="22"/>
        </w:rPr>
        <w:t xml:space="preserve">The U.S. cybersecurity system is distributed by design and fragmented in practice. The private sector owns and operates the large majority of critical infrastructure. Federal authority is divided among CISA (coordination and civilian network defense), sector-specific regulators (FERC/NERC for energy, FCC for telecom, HHS for healthcare, TSA for transportation), NIST (standards development), and DoD/IC (offensive operations and intelligence). No single entity has comprehensive authority over critical infrastructure cybersecurity.</w:t>
      </w:r>
    </w:p>
    <w:p>
      <w:pPr>
        <w:pStyle w:val="Heading2"/>
        <w:spacing w:after="180" w:before="280"/>
      </w:pPr>
      <w:r>
        <w:rPr>
          <w:rFonts w:ascii="Arial" w:cs="Arial" w:eastAsia="Arial" w:hAnsi="Arial"/>
          <w:b/>
          <w:bCs/>
          <w:color w:val="1B2A4A"/>
          <w:sz w:val="26"/>
          <w:szCs w:val="26"/>
        </w:rPr>
        <w:t xml:space="preserve">CISA: Coordination Authority Under Stress</w:t>
      </w:r>
    </w:p>
    <w:p>
      <w:pPr>
        <w:spacing w:after="200" w:before="0" w:line="276"/>
      </w:pPr>
      <w:r>
        <w:rPr>
          <w:rFonts w:ascii="Arial" w:cs="Arial" w:eastAsia="Arial" w:hAnsi="Arial"/>
          <w:sz w:val="22"/>
          <w:szCs w:val="22"/>
        </w:rPr>
        <w:t xml:space="preserve">Public reporting indicates CISA has lost roughly one-third of its federal workforce since January 2025, with significant reduction in operational and stakeholder-facing capacity.</w:t>
      </w:r>
      <w:r>
        <w:rPr>
          <w:rFonts w:ascii="Arial" w:cs="Arial" w:eastAsia="Arial" w:hAnsi="Arial"/>
          <w:color w:val="1B2A4A"/>
          <w:sz w:val="16"/>
          <w:szCs w:val="16"/>
          <w:vertAlign w:val="superscript"/>
        </w:rPr>
        <w:t xml:space="preserve">18</w:t>
      </w:r>
      <w:r>
        <w:rPr>
          <w:rFonts w:ascii="Arial" w:cs="Arial" w:eastAsia="Arial" w:hAnsi="Arial"/>
          <w:sz w:val="22"/>
          <w:szCs w:val="22"/>
        </w:rPr>
        <w:t xml:space="preserve"> The FY2026 budget was cut by approximately $135 million, and the FY2027 proposal seeks a further $707 million reduction.</w:t>
      </w:r>
      <w:r>
        <w:rPr>
          <w:rFonts w:ascii="Arial" w:cs="Arial" w:eastAsia="Arial" w:hAnsi="Arial"/>
          <w:color w:val="1B2A4A"/>
          <w:sz w:val="16"/>
          <w:szCs w:val="16"/>
          <w:vertAlign w:val="superscript"/>
        </w:rPr>
        <w:t xml:space="preserve">19,20</w:t>
      </w:r>
      <w:r>
        <w:rPr>
          <w:rFonts w:ascii="Arial" w:cs="Arial" w:eastAsia="Arial" w:hAnsi="Arial"/>
          <w:sz w:val="22"/>
          <w:szCs w:val="22"/>
        </w:rPr>
        <w:t xml:space="preserve"> The National Risk Management Center faces a proposed 73% funding cut, and the Stakeholder Engagement Division a 62% cut.</w:t>
      </w:r>
      <w:r>
        <w:rPr>
          <w:rFonts w:ascii="Arial" w:cs="Arial" w:eastAsia="Arial" w:hAnsi="Arial"/>
          <w:color w:val="1B2A4A"/>
          <w:sz w:val="16"/>
          <w:szCs w:val="16"/>
          <w:vertAlign w:val="superscript"/>
        </w:rPr>
        <w:t xml:space="preserve">21</w:t>
      </w:r>
      <w:r>
        <w:rPr>
          <w:rFonts w:ascii="Arial" w:cs="Arial" w:eastAsia="Arial" w:hAnsi="Arial"/>
          <w:sz w:val="22"/>
          <w:szCs w:val="22"/>
        </w:rPr>
        <w:t xml:space="preserve"> The agency has operated without a Senate-confirmed director since January 2025.</w:t>
      </w:r>
      <w:r>
        <w:rPr>
          <w:rFonts w:ascii="Arial" w:cs="Arial" w:eastAsia="Arial" w:hAnsi="Arial"/>
          <w:color w:val="1B2A4A"/>
          <w:sz w:val="16"/>
          <w:szCs w:val="16"/>
          <w:vertAlign w:val="superscript"/>
        </w:rPr>
        <w:t xml:space="preserve">22</w:t>
      </w:r>
    </w:p>
    <w:p>
      <w:pPr>
        <w:pStyle w:val="Heading2"/>
        <w:spacing w:after="180" w:before="280"/>
      </w:pPr>
      <w:r>
        <w:rPr>
          <w:rFonts w:ascii="Arial" w:cs="Arial" w:eastAsia="Arial" w:hAnsi="Arial"/>
          <w:b/>
          <w:bCs/>
          <w:color w:val="1B2A4A"/>
          <w:sz w:val="26"/>
          <w:szCs w:val="26"/>
        </w:rPr>
        <w:t xml:space="preserve">NIST: Standards Authority with Diminished Capacity</w:t>
      </w:r>
    </w:p>
    <w:p>
      <w:pPr>
        <w:spacing w:after="200" w:before="0" w:line="276"/>
      </w:pPr>
      <w:r>
        <w:rPr>
          <w:rFonts w:ascii="Arial" w:cs="Arial" w:eastAsia="Arial" w:hAnsi="Arial"/>
          <w:sz w:val="22"/>
          <w:szCs w:val="22"/>
        </w:rPr>
        <w:t xml:space="preserve">NIST’s Computer Security Division has lost its longtime chief and an estimated 20% of its federal workforce, including leaders of the Security Testing and Secure Systems groups.</w:t>
      </w:r>
      <w:r>
        <w:rPr>
          <w:rFonts w:ascii="Arial" w:cs="Arial" w:eastAsia="Arial" w:hAnsi="Arial"/>
          <w:color w:val="1B2A4A"/>
          <w:sz w:val="16"/>
          <w:szCs w:val="16"/>
          <w:vertAlign w:val="superscript"/>
        </w:rPr>
        <w:t xml:space="preserve">23</w:t>
      </w:r>
      <w:r>
        <w:rPr>
          <w:rFonts w:ascii="Arial" w:cs="Arial" w:eastAsia="Arial" w:hAnsi="Arial"/>
          <w:sz w:val="22"/>
          <w:szCs w:val="22"/>
        </w:rPr>
        <w:t xml:space="preserve"> The NVD backlog reached approximately 25,000 unprocessed CVEs by early 2025, according to public reporting and agency-linked descriptions of the backlog.</w:t>
      </w:r>
      <w:r>
        <w:rPr>
          <w:rFonts w:ascii="Arial" w:cs="Arial" w:eastAsia="Arial" w:hAnsi="Arial"/>
          <w:color w:val="1B2A4A"/>
          <w:sz w:val="16"/>
          <w:szCs w:val="16"/>
          <w:vertAlign w:val="superscript"/>
        </w:rPr>
        <w:t xml:space="preserve">24</w:t>
      </w:r>
      <w:r>
        <w:rPr>
          <w:rFonts w:ascii="Arial" w:cs="Arial" w:eastAsia="Arial" w:hAnsi="Arial"/>
          <w:sz w:val="22"/>
          <w:szCs w:val="22"/>
        </w:rPr>
        <w:t xml:space="preserve"> NIST’s capacity to maintain the CSF, SP 800-series, and post-quantum cryptography standards—the foundational documents of U.S. cybersecurity governance—is directly affected by these reductions.</w:t>
      </w:r>
    </w:p>
    <w:p>
      <w:pPr>
        <w:pStyle w:val="Heading2"/>
        <w:spacing w:after="180" w:before="280"/>
      </w:pPr>
      <w:r>
        <w:rPr>
          <w:rFonts w:ascii="Arial" w:cs="Arial" w:eastAsia="Arial" w:hAnsi="Arial"/>
          <w:b/>
          <w:bCs/>
          <w:color w:val="1B2A4A"/>
          <w:sz w:val="26"/>
          <w:szCs w:val="26"/>
        </w:rPr>
        <w:t xml:space="preserve">Frameworks: The Problem Is Not What Exists but What Gets Implemented</w:t>
      </w:r>
    </w:p>
    <w:p>
      <w:pPr>
        <w:spacing w:after="200" w:before="0" w:line="276"/>
      </w:pPr>
      <w:r>
        <w:rPr>
          <w:rFonts w:ascii="Arial" w:cs="Arial" w:eastAsia="Arial" w:hAnsi="Arial"/>
          <w:sz w:val="22"/>
          <w:szCs w:val="22"/>
        </w:rPr>
        <w:t xml:space="preserve">NIST CSF 2.0 (February 2024) provides a comprehensive risk management framework applicable to all organizations.</w:t>
      </w:r>
      <w:r>
        <w:rPr>
          <w:rFonts w:ascii="Arial" w:cs="Arial" w:eastAsia="Arial" w:hAnsi="Arial"/>
          <w:color w:val="1B2A4A"/>
          <w:sz w:val="16"/>
          <w:szCs w:val="16"/>
          <w:vertAlign w:val="superscript"/>
        </w:rPr>
        <w:t xml:space="preserve">25</w:t>
      </w:r>
      <w:r>
        <w:rPr>
          <w:rFonts w:ascii="Arial" w:cs="Arial" w:eastAsia="Arial" w:hAnsi="Arial"/>
          <w:sz w:val="22"/>
          <w:szCs w:val="22"/>
        </w:rPr>
        <w:t xml:space="preserve"> NIST SP 800-53 Rev 5 contains 1,189 security and privacy controls. CISA’s Cross-Sector Cybersecurity Performance Goals v2.0 (December 2025) define voluntary minimum standards.</w:t>
      </w:r>
      <w:r>
        <w:rPr>
          <w:rFonts w:ascii="Arial" w:cs="Arial" w:eastAsia="Arial" w:hAnsi="Arial"/>
          <w:color w:val="1B2A4A"/>
          <w:sz w:val="16"/>
          <w:szCs w:val="16"/>
          <w:vertAlign w:val="superscript"/>
        </w:rPr>
        <w:t xml:space="preserve">26</w:t>
      </w:r>
      <w:r>
        <w:rPr>
          <w:rFonts w:ascii="Arial" w:cs="Arial" w:eastAsia="Arial" w:hAnsi="Arial"/>
          <w:sz w:val="22"/>
          <w:szCs w:val="22"/>
        </w:rPr>
        <w:t xml:space="preserve"> CMMC 2.0 maps to SP 800-171 for defense industrial base contractors.</w:t>
      </w:r>
      <w:r>
        <w:rPr>
          <w:rFonts w:ascii="Arial" w:cs="Arial" w:eastAsia="Arial" w:hAnsi="Arial"/>
          <w:color w:val="1B2A4A"/>
          <w:sz w:val="16"/>
          <w:szCs w:val="16"/>
          <w:vertAlign w:val="superscript"/>
        </w:rPr>
        <w:t xml:space="preserve">27</w:t>
      </w:r>
      <w:r>
        <w:rPr>
          <w:rFonts w:ascii="Arial" w:cs="Arial" w:eastAsia="Arial" w:hAnsi="Arial"/>
          <w:sz w:val="22"/>
          <w:szCs w:val="22"/>
        </w:rPr>
        <w:t xml:space="preserve"> NERC CIP standards provide the only truly enforceable critical infrastructure cybersecurity regime in the energy sector.</w:t>
      </w:r>
      <w:r>
        <w:rPr>
          <w:rFonts w:ascii="Arial" w:cs="Arial" w:eastAsia="Arial" w:hAnsi="Arial"/>
          <w:color w:val="1B2A4A"/>
          <w:sz w:val="16"/>
          <w:szCs w:val="16"/>
          <w:vertAlign w:val="superscript"/>
        </w:rPr>
        <w:t xml:space="preserve">28</w:t>
      </w:r>
    </w:p>
    <w:p>
      <w:pPr>
        <w:spacing w:after="200" w:before="0" w:line="276"/>
      </w:pPr>
      <w:r>
        <w:rPr>
          <w:rFonts w:ascii="Arial" w:cs="Arial" w:eastAsia="Arial" w:hAnsi="Arial"/>
          <w:sz w:val="22"/>
          <w:szCs w:val="22"/>
        </w:rPr>
        <w:t xml:space="preserve">The U.S. does not lack frameworks. It lacks enforcement and uniform adoption across the 16 critical infrastructure sectors, particularly in water, healthcare, and small-operator environments where technical capacity and funding are insufficient to implement existing guidance.</w:t>
      </w:r>
    </w:p>
    <w:p>
      <w:pPr>
        <w:pStyle w:val="Heading2"/>
        <w:spacing w:after="180" w:before="280"/>
      </w:pPr>
      <w:r>
        <w:rPr>
          <w:rFonts w:ascii="Arial" w:cs="Arial" w:eastAsia="Arial" w:hAnsi="Arial"/>
          <w:b/>
          <w:bCs/>
          <w:color w:val="1B2A4A"/>
          <w:sz w:val="26"/>
          <w:szCs w:val="26"/>
        </w:rPr>
        <w:t xml:space="preserve">Offensive Capability: DoD and Intelligence Community</w:t>
      </w:r>
    </w:p>
    <w:p>
      <w:pPr>
        <w:spacing w:after="200" w:before="0" w:line="276"/>
      </w:pPr>
      <w:r>
        <w:rPr>
          <w:rFonts w:ascii="Arial" w:cs="Arial" w:eastAsia="Arial" w:hAnsi="Arial"/>
          <w:sz w:val="22"/>
          <w:szCs w:val="22"/>
        </w:rPr>
        <w:t xml:space="preserve">U.S. Cyber Command operates 133 Cyber Mission Force teams across four service components, with the Cyber National Mission Force elevated to a subordinate unified command in December 2022.</w:t>
      </w:r>
      <w:r>
        <w:rPr>
          <w:rFonts w:ascii="Arial" w:cs="Arial" w:eastAsia="Arial" w:hAnsi="Arial"/>
          <w:color w:val="1B2A4A"/>
          <w:sz w:val="16"/>
          <w:szCs w:val="16"/>
          <w:vertAlign w:val="superscript"/>
        </w:rPr>
        <w:t xml:space="preserve">29</w:t>
      </w:r>
      <w:r>
        <w:rPr>
          <w:rFonts w:ascii="Arial" w:cs="Arial" w:eastAsia="Arial" w:hAnsi="Arial"/>
          <w:sz w:val="22"/>
          <w:szCs w:val="22"/>
        </w:rPr>
        <w:t xml:space="preserve"> Hunt-forward operations have reached over 60 missions in 28 countries cumulatively.</w:t>
      </w:r>
      <w:r>
        <w:rPr>
          <w:rFonts w:ascii="Arial" w:cs="Arial" w:eastAsia="Arial" w:hAnsi="Arial"/>
          <w:color w:val="1B2A4A"/>
          <w:sz w:val="16"/>
          <w:szCs w:val="16"/>
          <w:vertAlign w:val="superscript"/>
        </w:rPr>
        <w:t xml:space="preserve">30</w:t>
      </w:r>
      <w:r>
        <w:rPr>
          <w:rFonts w:ascii="Arial" w:cs="Arial" w:eastAsia="Arial" w:hAnsi="Arial"/>
          <w:sz w:val="22"/>
          <w:szCs w:val="22"/>
        </w:rPr>
        <w:t xml:space="preserve"> The defend-forward doctrine appears to have produced operational value in multiple cases. Offensive cyber operations are exclusively a DoD/IC function; private sector entities are legally prohibited from conducting offensive operations under 18 U.S.C. §1030.</w:t>
      </w:r>
    </w:p>
    <w:p>
      <w:r>
        <w:br w:type="page"/>
      </w:r>
    </w:p>
    <w:p>
      <w:pPr>
        <w:pStyle w:val="Heading1"/>
        <w:spacing w:after="240" w:before="360"/>
      </w:pPr>
      <w:r>
        <w:rPr>
          <w:rFonts w:ascii="Arial" w:cs="Arial" w:eastAsia="Arial" w:hAnsi="Arial"/>
          <w:b/>
          <w:bCs/>
          <w:color w:val="1B2A4A"/>
          <w:sz w:val="32"/>
          <w:szCs w:val="32"/>
        </w:rPr>
        <w:t xml:space="preserve">Section III — Where Execution Is Actually Failing</w:t>
      </w:r>
    </w:p>
    <w:p>
      <w:pPr>
        <w:spacing w:after="200" w:before="0" w:line="276"/>
      </w:pPr>
      <w:r>
        <w:rPr>
          <w:rFonts w:ascii="Arial" w:cs="Arial" w:eastAsia="Arial" w:hAnsi="Arial"/>
          <w:sz w:val="22"/>
          <w:szCs w:val="22"/>
        </w:rPr>
        <w:t xml:space="preserve">The execution gap is the distance between what existing frameworks, mandates, and strategies require and what institutions and operators actually deliver. This gap is not primarily a knowledge problem; it is a capacity, enforcement, and accountability problem.</w:t>
      </w:r>
    </w:p>
    <w:p>
      <w:pPr>
        <w:pStyle w:val="Heading2"/>
        <w:spacing w:after="180" w:before="280"/>
      </w:pPr>
      <w:r>
        <w:rPr>
          <w:rFonts w:ascii="Arial" w:cs="Arial" w:eastAsia="Arial" w:hAnsi="Arial"/>
          <w:b/>
          <w:bCs/>
          <w:color w:val="1B2A4A"/>
          <w:sz w:val="26"/>
          <w:szCs w:val="26"/>
        </w:rPr>
        <w:t xml:space="preserve">Why the Execution Gap Persists</w:t>
      </w:r>
    </w:p>
    <w:p>
      <w:pPr>
        <w:spacing w:after="200" w:before="0" w:line="276"/>
      </w:pPr>
      <w:r>
        <w:rPr>
          <w:rFonts w:ascii="Arial" w:cs="Arial" w:eastAsia="Arial" w:hAnsi="Arial"/>
          <w:sz w:val="22"/>
          <w:szCs w:val="22"/>
        </w:rPr>
        <w:t xml:space="preserve">The execution gap is not accidental. It reflects a structural political-economy problem in which the costs of cybersecurity compliance are concentrated and immediate—falling on individual operators, agencies, and budget lines—while the benefits of improved security are diffuse, probabilistic, and largely invisible when successful. This produces a collective-action failure: each operator has an individual incentive to underinvest in security relative to the socially optimal level, and no single regulator has the authority or capacity to internalize the full cross-sector risk. The problem is compounded by fragmented oversight (cybersecurity governance spans at least seven congressional committees), workforce constraints that make enforcement capacity scarce even when legal authority exists, and a regulatory culture that defaults to voluntary frameworks precisely because mandatory standards impose visible costs on politically organized constituencies. The execution gap, in short, is a principal-agent problem layered on a collective-action failure, operating within a fragmented institutional structure that lacks the coordination mechanisms to overcome either.</w:t>
      </w:r>
    </w:p>
    <w:p>
      <w:pPr>
        <w:pStyle w:val="Heading2"/>
        <w:spacing w:after="180" w:before="280"/>
      </w:pPr>
      <w:r>
        <w:rPr>
          <w:rFonts w:ascii="Arial" w:cs="Arial" w:eastAsia="Arial" w:hAnsi="Arial"/>
          <w:b/>
          <w:bCs/>
          <w:color w:val="1B2A4A"/>
          <w:sz w:val="26"/>
          <w:szCs w:val="26"/>
        </w:rPr>
        <w:t xml:space="preserve">CIRCIA: The Reporting Mandate That Keeps Slipping</w:t>
      </w:r>
    </w:p>
    <w:p>
      <w:pPr>
        <w:spacing w:after="200" w:before="0" w:line="276"/>
      </w:pPr>
      <w:r>
        <w:rPr>
          <w:rFonts w:ascii="Arial" w:cs="Arial" w:eastAsia="Arial" w:hAnsi="Arial"/>
          <w:sz w:val="22"/>
          <w:szCs w:val="22"/>
        </w:rPr>
        <w:t xml:space="preserve">The CIRCIA final rule—requiring 72-hour incident reporting and 24-hour ransom payment reporting from an estimated hundreds of thousands of covered entities—was delayed from its statutory October 2025 deadline to May 2026.</w:t>
      </w:r>
      <w:r>
        <w:rPr>
          <w:rFonts w:ascii="Arial" w:cs="Arial" w:eastAsia="Arial" w:hAnsi="Arial"/>
          <w:color w:val="1B2A4A"/>
          <w:sz w:val="16"/>
          <w:szCs w:val="16"/>
          <w:vertAlign w:val="superscript"/>
        </w:rPr>
        <w:t xml:space="preserve">31</w:t>
      </w:r>
      <w:r>
        <w:rPr>
          <w:rFonts w:ascii="Arial" w:cs="Arial" w:eastAsia="Arial" w:hAnsi="Arial"/>
          <w:sz w:val="22"/>
          <w:szCs w:val="22"/>
        </w:rPr>
        <w:t xml:space="preserve"> Sector-specific town halls were cancelled due to an appropriations lapse.</w:t>
      </w:r>
      <w:r>
        <w:rPr>
          <w:rFonts w:ascii="Arial" w:cs="Arial" w:eastAsia="Arial" w:hAnsi="Arial"/>
          <w:color w:val="1B2A4A"/>
          <w:sz w:val="16"/>
          <w:szCs w:val="16"/>
          <w:vertAlign w:val="superscript"/>
        </w:rPr>
        <w:t xml:space="preserve">31</w:t>
      </w:r>
      <w:r>
        <w:rPr>
          <w:rFonts w:ascii="Arial" w:cs="Arial" w:eastAsia="Arial" w:hAnsi="Arial"/>
          <w:sz w:val="22"/>
          <w:szCs w:val="22"/>
        </w:rPr>
        <w:t xml:space="preserve"> The rule has not been finalized. Until it is, there is no cross-sector mandatory incident reporting framework for critical infrastructure.</w:t>
      </w:r>
    </w:p>
    <w:p>
      <w:pPr>
        <w:pStyle w:val="Heading2"/>
        <w:spacing w:after="180" w:before="280"/>
      </w:pPr>
      <w:r>
        <w:rPr>
          <w:rFonts w:ascii="Arial" w:cs="Arial" w:eastAsia="Arial" w:hAnsi="Arial"/>
          <w:b/>
          <w:bCs/>
          <w:color w:val="1B2A4A"/>
          <w:sz w:val="26"/>
          <w:szCs w:val="26"/>
        </w:rPr>
        <w:t xml:space="preserve">CMMC: Limited Certification Progress</w:t>
      </w:r>
    </w:p>
    <w:p>
      <w:pPr>
        <w:spacing w:after="200" w:before="0" w:line="276"/>
      </w:pPr>
      <w:r>
        <w:rPr>
          <w:rFonts w:ascii="Arial" w:cs="Arial" w:eastAsia="Arial" w:hAnsi="Arial"/>
          <w:sz w:val="22"/>
          <w:szCs w:val="22"/>
        </w:rPr>
        <w:t xml:space="preserve">Public reporting in late 2025 indicated that only several hundred organizations had achieved CMMC certification, far below the population expected to require Level 2 compliance.</w:t>
      </w:r>
      <w:r>
        <w:rPr>
          <w:rFonts w:ascii="Arial" w:cs="Arial" w:eastAsia="Arial" w:hAnsi="Arial"/>
          <w:color w:val="1B2A4A"/>
          <w:sz w:val="16"/>
          <w:szCs w:val="16"/>
          <w:vertAlign w:val="superscript"/>
        </w:rPr>
        <w:t xml:space="preserve">32</w:t>
      </w:r>
      <w:r>
        <w:rPr>
          <w:rFonts w:ascii="Arial" w:cs="Arial" w:eastAsia="Arial" w:hAnsi="Arial"/>
          <w:sz w:val="22"/>
          <w:szCs w:val="22"/>
        </w:rPr>
        <w:t xml:space="preserve"> The prior self-attestation regime under DFARS 252.204-7012 was widely acknowledged as inadequate, with DoD assessments indicating that only a small fraction of self-assessed companies actually met compliance standards.</w:t>
      </w:r>
      <w:r>
        <w:rPr>
          <w:rFonts w:ascii="Arial" w:cs="Arial" w:eastAsia="Arial" w:hAnsi="Arial"/>
          <w:color w:val="1B2A4A"/>
          <w:sz w:val="16"/>
          <w:szCs w:val="16"/>
          <w:vertAlign w:val="superscript"/>
        </w:rPr>
        <w:t xml:space="preserve">32</w:t>
      </w:r>
    </w:p>
    <w:p>
      <w:pPr>
        <w:pStyle w:val="Heading2"/>
        <w:spacing w:after="180" w:before="280"/>
      </w:pPr>
      <w:r>
        <w:rPr>
          <w:rFonts w:ascii="Arial" w:cs="Arial" w:eastAsia="Arial" w:hAnsi="Arial"/>
          <w:b/>
          <w:bCs/>
          <w:color w:val="1B2A4A"/>
          <w:sz w:val="26"/>
          <w:szCs w:val="26"/>
        </w:rPr>
        <w:t xml:space="preserve">Zero Trust: Mixed Implementation Record</w:t>
      </w:r>
    </w:p>
    <w:p>
      <w:pPr>
        <w:spacing w:after="200" w:before="0" w:line="276"/>
      </w:pPr>
      <w:r>
        <w:rPr>
          <w:rFonts w:ascii="Arial" w:cs="Arial" w:eastAsia="Arial" w:hAnsi="Arial"/>
          <w:sz w:val="22"/>
          <w:szCs w:val="22"/>
        </w:rPr>
        <w:t xml:space="preserve">GAO has tracked 4,387 cybersecurity-related recommendations since 2010, of which 764 remain unimplemented as of the 2025 High-Risk List update.</w:t>
      </w:r>
      <w:r>
        <w:rPr>
          <w:rFonts w:ascii="Arial" w:cs="Arial" w:eastAsia="Arial" w:hAnsi="Arial"/>
          <w:color w:val="1B2A4A"/>
          <w:sz w:val="16"/>
          <w:szCs w:val="16"/>
          <w:vertAlign w:val="superscript"/>
        </w:rPr>
        <w:t xml:space="preserve">33</w:t>
      </w:r>
      <w:r>
        <w:rPr>
          <w:rFonts w:ascii="Arial" w:cs="Arial" w:eastAsia="Arial" w:hAnsi="Arial"/>
          <w:sz w:val="22"/>
          <w:szCs w:val="22"/>
        </w:rPr>
        <w:t xml:space="preserve"> Cybersecurity has been on GAO’s High-Risk List since 1997. GAO stated the government is “still not operating at a pace commensurate with the evolving grave cybersecurity threats.”</w:t>
      </w:r>
      <w:r>
        <w:rPr>
          <w:rFonts w:ascii="Arial" w:cs="Arial" w:eastAsia="Arial" w:hAnsi="Arial"/>
          <w:color w:val="1B2A4A"/>
          <w:sz w:val="16"/>
          <w:szCs w:val="16"/>
          <w:vertAlign w:val="superscript"/>
        </w:rPr>
        <w:t xml:space="preserve">33</w:t>
      </w:r>
    </w:p>
    <w:p>
      <w:pPr>
        <w:pStyle w:val="Heading2"/>
        <w:spacing w:after="180" w:before="280"/>
      </w:pPr>
      <w:r>
        <w:rPr>
          <w:rFonts w:ascii="Arial" w:cs="Arial" w:eastAsia="Arial" w:hAnsi="Arial"/>
          <w:b/>
          <w:bCs/>
          <w:color w:val="1B2A4A"/>
          <w:sz w:val="26"/>
          <w:szCs w:val="26"/>
        </w:rPr>
        <w:t xml:space="preserve">Strategy Exceeds Institutional Capacity</w:t>
      </w:r>
    </w:p>
    <w:p>
      <w:pPr>
        <w:spacing w:after="200" w:before="0" w:line="276"/>
      </w:pPr>
      <w:r>
        <w:rPr>
          <w:rFonts w:ascii="Arial" w:cs="Arial" w:eastAsia="Arial" w:hAnsi="Arial"/>
          <w:sz w:val="22"/>
          <w:szCs w:val="22"/>
        </w:rPr>
        <w:t>The Trump administration’s March 2026 Cyber Strategy for America establishes six pillars spanning offensive operations, AI-powered defense, post-quantum cryptography migration, federal network modernization, and workforce development.34 It does not identify China or Russia as named threat actors in its threat characterization, and no implementation action plan was released.35 The strategy’s ambitions require institutional capacity that is being simultaneously reduced—neither CISA nor NSA has a Senate-confirmed leader.</w:t>
      </w:r>
      <w:r>
        <w:rPr>
          <w:rFonts w:ascii="Arial" w:cs="Arial" w:eastAsia="Arial" w:hAnsi="Arial"/>
          <w:color w:val="1B2A4A"/>
          <w:sz w:val="16"/>
          <w:szCs w:val="16"/>
          <w:vertAlign w:val="superscript"/>
        </w:rPr>
      </w:r>
      <w:r>
        <w:rPr>
          <w:rFonts w:ascii="Arial" w:cs="Arial" w:eastAsia="Arial" w:hAnsi="Arial"/>
          <w:sz w:val="22"/>
          <w:szCs w:val="22"/>
        </w:rPr>
      </w:r>
      <w:r>
        <w:rPr>
          <w:rFonts w:ascii="Arial" w:cs="Arial" w:eastAsia="Arial" w:hAnsi="Arial"/>
          <w:color w:val="1B2A4A"/>
          <w:sz w:val="16"/>
          <w:szCs w:val="16"/>
          <w:vertAlign w:val="superscript"/>
        </w:rPr>
      </w:r>
      <w:r>
        <w:rPr>
          <w:rFonts w:ascii="Arial" w:cs="Arial" w:eastAsia="Arial" w:hAnsi="Arial"/>
          <w:sz w:val="22"/>
          <w:szCs w:val="22"/>
        </w:rPr>
      </w:r>
    </w:p>
    <w:p>
      <w:pPr>
        <w:pStyle w:val="Heading2"/>
        <w:spacing w:after="180" w:before="280"/>
      </w:pPr>
      <w:r>
        <w:rPr>
          <w:rFonts w:ascii="Arial" w:cs="Arial" w:eastAsia="Arial" w:hAnsi="Arial"/>
          <w:b/>
          <w:bCs/>
          <w:color w:val="1B2A4A"/>
          <w:sz w:val="26"/>
          <w:szCs w:val="26"/>
        </w:rPr>
        <w:t xml:space="preserve">The Limits of Mandates</w:t>
      </w:r>
    </w:p>
    <w:p>
      <w:pPr>
        <w:spacing w:after="200" w:before="0" w:line="276"/>
      </w:pPr>
      <w:r>
        <w:rPr>
          <w:rFonts w:ascii="Arial" w:cs="Arial" w:eastAsia="Arial" w:hAnsi="Arial"/>
          <w:sz w:val="22"/>
          <w:szCs w:val="22"/>
        </w:rPr>
        <w:t xml:space="preserve">A necessary counterpoint: enforceable standards do not guarantee security outcomes. NERC CIP is the strongest enforceable cybersecurity regime in U.S. critical infrastructure, yet Volt Typhoon pre-positioned within energy sector OT environments despite that regime.</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This demonstrates that compliance and security are not identical—compliance establishes a floor, but determined nation-state actors operate above the compliance threshold.</w:t>
      </w:r>
    </w:p>
    <w:p>
      <w:pPr>
        <w:spacing w:after="200" w:before="0" w:line="276"/>
      </w:pPr>
      <w:r>
        <w:rPr>
          <w:rFonts w:ascii="Arial" w:cs="Arial" w:eastAsia="Arial" w:hAnsi="Arial"/>
          <w:sz w:val="22"/>
          <w:szCs w:val="22"/>
        </w:rPr>
        <w:t xml:space="preserve">Additionally, regulatory burden falls disproportionately on small operators. A 50-bed rural hospital or a municipal water utility serving 5,000 residents faces the same technical requirements as a major health system or metropolitan water authority, but with a fraction of the budget and no dedicated cybersecurity staff. If compliance costs exceed operational margins, small operators may exit critical infrastructure markets entirely—concentrating ownership among fewer, larger entities and creating single points of failure that amplify rather than reduce systemic risk. This is the strongest counterargument to mandatory standards, and it is not hypothetical: industry commenters have raised it consistently in CIRCIA, HIPAA NPRM, and CMMC rulemaking proceedings. The implication is that any enforceable minimum must be paired with scaled financial and technical assistance for small operators, or it risks producing the concentration it seeks to prevent.</w:t>
      </w:r>
    </w:p>
    <w:p>
      <w:pPr>
        <w:spacing w:after="200" w:before="0" w:line="276"/>
      </w:pPr>
      <w:r>
        <w:rPr>
          <w:rFonts w:ascii="Arial" w:cs="Arial" w:eastAsia="Arial" w:hAnsi="Arial"/>
          <w:sz w:val="22"/>
          <w:szCs w:val="22"/>
        </w:rPr>
        <w:t xml:space="preserve">This paper’s argument for enforceable minimums should be read with these constraints: mandates are necessary but insufficient, must be paired with monitoring and threat intelligence that goes beyond checkbox compliance, and must include funding mechanisms that prevent small-operator market exit.</w:t>
      </w:r>
    </w:p>
    <w:p>
      <w:pPr>
        <w:pStyle w:val="Heading2"/>
        <w:spacing w:after="180" w:before="280"/>
      </w:pPr>
      <w:r>
        <w:rPr>
          <w:rFonts w:ascii="Arial" w:cs="Arial" w:eastAsia="Arial" w:hAnsi="Arial"/>
          <w:b/>
          <w:bCs/>
          <w:color w:val="1B2A4A"/>
          <w:sz w:val="26"/>
          <w:szCs w:val="26"/>
        </w:rPr>
        <w:t xml:space="preserve">International Precedent: Enforceable Minimums Are Achievable</w:t>
      </w:r>
    </w:p>
    <w:p>
      <w:pPr>
        <w:spacing w:after="200" w:before="0" w:line="276"/>
      </w:pPr>
      <w:r>
        <w:rPr>
          <w:rFonts w:ascii="Arial" w:cs="Arial" w:eastAsia="Arial" w:hAnsi="Arial"/>
          <w:sz w:val="22"/>
          <w:szCs w:val="22"/>
        </w:rPr>
        <w:t xml:space="preserve">The EU’s Network and Information Security Directive 2 (NIS2), which took effect in October 2024, imposes cross-sector enforceable minimum cybersecurity requirements on essential and important entities across 18 sectors, with mandatory incident reporting within 24 hours and potential fines of up to €10 million or 2% of global turnover.</w:t>
      </w:r>
      <w:r>
        <w:rPr>
          <w:rFonts w:ascii="Arial" w:cs="Arial" w:eastAsia="Arial" w:hAnsi="Arial"/>
          <w:color w:val="1B2A4A"/>
          <w:sz w:val="16"/>
          <w:szCs w:val="16"/>
          <w:vertAlign w:val="superscript"/>
        </w:rPr>
        <w:t xml:space="preserve">46</w:t>
      </w:r>
      <w:r>
        <w:rPr>
          <w:rFonts w:ascii="Arial" w:cs="Arial" w:eastAsia="Arial" w:hAnsi="Arial"/>
          <w:sz w:val="22"/>
          <w:szCs w:val="22"/>
        </w:rPr>
        <w:t xml:space="preserve"> Australia’s Security of Critical Infrastructure Act (SOCI, amended 2022) requires registered critical infrastructure assets to maintain risk management programs with government-directed action powers in cases of serious cyber incidents.</w:t>
      </w:r>
      <w:r>
        <w:rPr>
          <w:rFonts w:ascii="Arial" w:cs="Arial" w:eastAsia="Arial" w:hAnsi="Arial"/>
          <w:color w:val="1B2A4A"/>
          <w:sz w:val="16"/>
          <w:szCs w:val="16"/>
          <w:vertAlign w:val="superscript"/>
        </w:rPr>
        <w:t xml:space="preserve">47</w:t>
      </w:r>
      <w:r>
        <w:rPr>
          <w:rFonts w:ascii="Arial" w:cs="Arial" w:eastAsia="Arial" w:hAnsi="Arial"/>
          <w:sz w:val="22"/>
          <w:szCs w:val="22"/>
        </w:rPr>
        <w:t xml:space="preserve"> Neither model has been in effect long enough to demonstrate measurable security outcome improvements—a limitation that applies equally to U.S. proposals—but both demonstrate that cross-sector enforceable minimums are technically and politically achievable in advanced democracies with comparable infrastructure complexity.</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National cyber strategies are analytically useful but operationally incomplete without implementation plans, enforcement mechanisms, staffing, and sustained funding. The gap between strategy and execution is the primary national cybersecurity vulnerability, and it persists because the institutional incentives that produce it have not been addressed.</w:t>
      </w:r>
    </w:p>
    <w:p>
      <w:r>
        <w:br w:type="page"/>
      </w:r>
    </w:p>
    <w:p>
      <w:pPr>
        <w:pStyle w:val="Heading1"/>
        <w:spacing w:after="240" w:before="360"/>
      </w:pPr>
      <w:r>
        <w:rPr>
          <w:rFonts w:ascii="Arial" w:cs="Arial" w:eastAsia="Arial" w:hAnsi="Arial"/>
          <w:b/>
          <w:bCs/>
          <w:color w:val="1B2A4A"/>
          <w:sz w:val="32"/>
          <w:szCs w:val="32"/>
        </w:rPr>
        <w:t xml:space="preserve">Section IV — Critical Infrastructure and Healthcare Vulnerability</w:t>
      </w:r>
    </w:p>
    <w:p>
      <w:pPr>
        <w:pStyle w:val="Heading2"/>
        <w:spacing w:after="180" w:before="280"/>
      </w:pPr>
      <w:r>
        <w:rPr>
          <w:rFonts w:ascii="Arial" w:cs="Arial" w:eastAsia="Arial" w:hAnsi="Arial"/>
          <w:b/>
          <w:bCs/>
          <w:color w:val="1B2A4A"/>
          <w:sz w:val="26"/>
          <w:szCs w:val="26"/>
        </w:rPr>
        <w:t xml:space="preserve">Energy: Strong Standards, Expanding Attack Surface</w:t>
      </w:r>
    </w:p>
    <w:p>
      <w:pPr>
        <w:spacing w:after="200" w:before="0" w:line="276"/>
      </w:pPr>
      <w:r>
        <w:rPr>
          <w:rFonts w:ascii="Arial" w:cs="Arial" w:eastAsia="Arial" w:hAnsi="Arial"/>
          <w:sz w:val="22"/>
          <w:szCs w:val="22"/>
        </w:rPr>
        <w:t xml:space="preserve">The electric grid operates under NERC CIP standards—the only enforceable critical infrastructure cybersecurity regime.</w:t>
      </w:r>
      <w:r>
        <w:rPr>
          <w:rFonts w:ascii="Arial" w:cs="Arial" w:eastAsia="Arial" w:hAnsi="Arial"/>
          <w:color w:val="1B2A4A"/>
          <w:sz w:val="16"/>
          <w:szCs w:val="16"/>
          <w:vertAlign w:val="superscript"/>
        </w:rPr>
        <w:t xml:space="preserve">28</w:t>
      </w:r>
      <w:r>
        <w:rPr>
          <w:rFonts w:ascii="Arial" w:cs="Arial" w:eastAsia="Arial" w:hAnsi="Arial"/>
          <w:sz w:val="22"/>
          <w:szCs w:val="22"/>
        </w:rPr>
        <w:t xml:space="preserve"> FERC approved CIP-015-1 requiring continuous internal network security monitoring.</w:t>
      </w:r>
      <w:r>
        <w:rPr>
          <w:rFonts w:ascii="Arial" w:cs="Arial" w:eastAsia="Arial" w:hAnsi="Arial"/>
          <w:color w:val="1B2A4A"/>
          <w:sz w:val="16"/>
          <w:szCs w:val="16"/>
          <w:vertAlign w:val="superscript"/>
        </w:rPr>
        <w:t xml:space="preserve">28</w:t>
      </w:r>
      <w:r>
        <w:rPr>
          <w:rFonts w:ascii="Arial" w:cs="Arial" w:eastAsia="Arial" w:hAnsi="Arial"/>
          <w:sz w:val="22"/>
          <w:szCs w:val="22"/>
        </w:rPr>
        <w:t xml:space="preserve"> However, Volt Typhoon’s confirmed pre-positioning in energy sector OT environments demonstrates that even the strongest regulatory regime does not prevent determined nation-state intrusion—it raises the cost and narrows the attack surface.</w:t>
      </w:r>
      <w:r>
        <w:rPr>
          <w:rFonts w:ascii="Arial" w:cs="Arial" w:eastAsia="Arial" w:hAnsi="Arial"/>
          <w:color w:val="1B2A4A"/>
          <w:sz w:val="16"/>
          <w:szCs w:val="16"/>
          <w:vertAlign w:val="superscript"/>
        </w:rPr>
        <w:t xml:space="preserve">2</w:t>
      </w:r>
    </w:p>
    <w:p>
      <w:pPr>
        <w:pStyle w:val="Heading2"/>
        <w:spacing w:after="180" w:before="280"/>
      </w:pPr>
      <w:r>
        <w:rPr>
          <w:rFonts w:ascii="Arial" w:cs="Arial" w:eastAsia="Arial" w:hAnsi="Arial"/>
          <w:b/>
          <w:bCs/>
          <w:color w:val="1B2A4A"/>
          <w:sz w:val="26"/>
          <w:szCs w:val="26"/>
        </w:rPr>
        <w:t xml:space="preserve">Water: No Federal Cybersecurity Mandate</w:t>
      </w:r>
    </w:p>
    <w:p>
      <w:pPr>
        <w:spacing w:after="200" w:before="0" w:line="276"/>
      </w:pPr>
      <w:r>
        <w:rPr>
          <w:rFonts w:ascii="Arial" w:cs="Arial" w:eastAsia="Arial" w:hAnsi="Arial"/>
          <w:sz w:val="22"/>
          <w:szCs w:val="22"/>
        </w:rPr>
        <w:t xml:space="preserve">The water sector is among the most exposed critical infrastructure sectors. After the 8th Circuit stayed EPA’s cybersecurity evaluation requirement in 2023, approximately 153,000 public drinking water systems operate with no federal cybersecurity mandate.</w:t>
      </w:r>
      <w:r>
        <w:rPr>
          <w:rFonts w:ascii="Arial" w:cs="Arial" w:eastAsia="Arial" w:hAnsi="Arial"/>
          <w:color w:val="1B2A4A"/>
          <w:sz w:val="16"/>
          <w:szCs w:val="16"/>
          <w:vertAlign w:val="superscript"/>
        </w:rPr>
        <w:t xml:space="preserve">36</w:t>
      </w:r>
      <w:r>
        <w:rPr>
          <w:rFonts w:ascii="Arial" w:cs="Arial" w:eastAsia="Arial" w:hAnsi="Arial"/>
          <w:sz w:val="22"/>
          <w:szCs w:val="22"/>
        </w:rPr>
        <w:t xml:space="preserve"> Many small systems lack dedicated IT staff. CyberAv3ngers exploited this with default passwords on internet-exposed PLCs.</w:t>
      </w:r>
      <w:r>
        <w:rPr>
          <w:rFonts w:ascii="Arial" w:cs="Arial" w:eastAsia="Arial" w:hAnsi="Arial"/>
          <w:color w:val="1B2A4A"/>
          <w:sz w:val="16"/>
          <w:szCs w:val="16"/>
          <w:vertAlign w:val="superscript"/>
        </w:rPr>
        <w:t xml:space="preserve">14</w:t>
      </w:r>
    </w:p>
    <w:p>
      <w:pPr>
        <w:pStyle w:val="Heading2"/>
        <w:spacing w:after="180" w:before="280"/>
      </w:pPr>
      <w:r>
        <w:rPr>
          <w:rFonts w:ascii="Arial" w:cs="Arial" w:eastAsia="Arial" w:hAnsi="Arial"/>
          <w:b/>
          <w:bCs/>
          <w:color w:val="1B2A4A"/>
          <w:sz w:val="26"/>
          <w:szCs w:val="26"/>
        </w:rPr>
        <w:t xml:space="preserve">Telecom: Rules Imposed Then Rescinded</w:t>
      </w:r>
    </w:p>
    <w:p>
      <w:pPr>
        <w:spacing w:after="200" w:before="0" w:line="276"/>
      </w:pPr>
      <w:r>
        <w:rPr>
          <w:rFonts w:ascii="Arial" w:cs="Arial" w:eastAsia="Arial" w:hAnsi="Arial"/>
          <w:sz w:val="22"/>
          <w:szCs w:val="22"/>
        </w:rPr>
        <w:t xml:space="preserve">The FCC adopted cybersecurity requirements for telecom carriers in response to Salt Typhoon in January 2025. The Trump-era FCC rescinded both the declaratory ruling and NPRM in November 2025.</w:t>
      </w:r>
      <w:r>
        <w:rPr>
          <w:rFonts w:ascii="Arial" w:cs="Arial" w:eastAsia="Arial" w:hAnsi="Arial"/>
          <w:color w:val="1B2A4A"/>
          <w:sz w:val="16"/>
          <w:szCs w:val="16"/>
          <w:vertAlign w:val="superscript"/>
        </w:rPr>
        <w:t xml:space="preserve">37</w:t>
      </w:r>
      <w:r>
        <w:rPr>
          <w:rFonts w:ascii="Arial" w:cs="Arial" w:eastAsia="Arial" w:hAnsi="Arial"/>
          <w:sz w:val="22"/>
          <w:szCs w:val="22"/>
        </w:rPr>
        <w:t xml:space="preserve"> Telecoms harboring active nation-state intrusions currently face no binding federal cybersecurity standards.</w:t>
      </w:r>
    </w:p>
    <w:p>
      <w:pPr>
        <w:pStyle w:val="Heading2"/>
        <w:spacing w:after="180" w:before="280"/>
      </w:pPr>
      <w:r>
        <w:rPr>
          <w:rFonts w:ascii="Arial" w:cs="Arial" w:eastAsia="Arial" w:hAnsi="Arial"/>
          <w:b/>
          <w:bCs/>
          <w:color w:val="1B2A4A"/>
          <w:sz w:val="26"/>
          <w:szCs w:val="26"/>
        </w:rPr>
        <w:t xml:space="preserve">Healthcare: Patient Safety at Direct Risk</w:t>
      </w:r>
    </w:p>
    <w:p>
      <w:pPr>
        <w:spacing w:after="200" w:before="0" w:line="276"/>
      </w:pPr>
      <w:r>
        <w:rPr>
          <w:rFonts w:ascii="Arial" w:cs="Arial" w:eastAsia="Arial" w:hAnsi="Arial"/>
          <w:sz w:val="22"/>
          <w:szCs w:val="22"/>
        </w:rPr>
        <w:t xml:space="preserve">The Change Healthcare ransomware attack (February 2024) affected approximately 193 million individuals through a portal that lacked multi-factor authentication.</w:t>
      </w:r>
      <w:r>
        <w:rPr>
          <w:rFonts w:ascii="Arial" w:cs="Arial" w:eastAsia="Arial" w:hAnsi="Arial"/>
          <w:color w:val="1B2A4A"/>
          <w:sz w:val="16"/>
          <w:szCs w:val="16"/>
          <w:vertAlign w:val="superscript"/>
        </w:rPr>
        <w:t xml:space="preserve">38</w:t>
      </w:r>
      <w:r>
        <w:rPr>
          <w:rFonts w:ascii="Arial" w:cs="Arial" w:eastAsia="Arial" w:hAnsi="Arial"/>
          <w:sz w:val="22"/>
          <w:szCs w:val="22"/>
        </w:rPr>
        <w:t xml:space="preserve"> Attackers accessed a Citrix portal with compromised credentials, exfiltrated up to 6 terabytes of data, and deployed ransomware. UnitedHealth Group’s CEO authorized a $22 million ransom payment.</w:t>
      </w:r>
      <w:r>
        <w:rPr>
          <w:rFonts w:ascii="Arial" w:cs="Arial" w:eastAsia="Arial" w:hAnsi="Arial"/>
          <w:color w:val="1B2A4A"/>
          <w:sz w:val="16"/>
          <w:szCs w:val="16"/>
          <w:vertAlign w:val="superscript"/>
        </w:rPr>
        <w:t xml:space="preserve">38</w:t>
      </w:r>
    </w:p>
    <w:p>
      <w:pPr>
        <w:spacing w:after="200" w:before="0" w:line="276"/>
      </w:pPr>
      <w:r>
        <w:rPr>
          <w:rFonts w:ascii="Arial" w:cs="Arial" w:eastAsia="Arial" w:hAnsi="Arial"/>
          <w:sz w:val="22"/>
          <w:szCs w:val="22"/>
        </w:rPr>
        <w:t xml:space="preserve">As of October 2025, HHS OCR recorded 364 hacking incidents affecting over 33 million individuals. Over 80% of stolen protected health information was exfiltrated from third-party vendors, not directly from hospitals.</w:t>
      </w:r>
      <w:r>
        <w:rPr>
          <w:rFonts w:ascii="Arial" w:cs="Arial" w:eastAsia="Arial" w:hAnsi="Arial"/>
          <w:color w:val="1B2A4A"/>
          <w:sz w:val="16"/>
          <w:szCs w:val="16"/>
          <w:vertAlign w:val="superscript"/>
        </w:rPr>
        <w:t xml:space="preserve">39</w:t>
      </w:r>
      <w:r>
        <w:rPr>
          <w:rFonts w:ascii="Arial" w:cs="Arial" w:eastAsia="Arial" w:hAnsi="Arial"/>
          <w:sz w:val="22"/>
          <w:szCs w:val="22"/>
        </w:rPr>
        <w:t xml:space="preserve"> Research published in JAMA Health Forum found ransomware attacks on hospitals increase in-hospital mortality by 1.28 to 1.87 percentage points.</w:t>
      </w:r>
      <w:r>
        <w:rPr>
          <w:rFonts w:ascii="Arial" w:cs="Arial" w:eastAsia="Arial" w:hAnsi="Arial"/>
          <w:color w:val="1B2A4A"/>
          <w:sz w:val="16"/>
          <w:szCs w:val="16"/>
          <w:vertAlign w:val="superscript"/>
        </w:rPr>
        <w:t xml:space="preserve">40</w:t>
      </w:r>
    </w:p>
    <w:p>
      <w:pPr>
        <w:spacing w:after="200" w:before="0" w:line="276"/>
      </w:pPr>
      <w:r>
        <w:rPr>
          <w:rFonts w:ascii="Arial" w:cs="Arial" w:eastAsia="Arial" w:hAnsi="Arial"/>
          <w:sz w:val="22"/>
          <w:szCs w:val="22"/>
        </w:rPr>
        <w:t xml:space="preserve">Contributing factors include workforce shortages (42% of organizations cite insufficient cybersecurity capacity), known unpatched vulnerabilities (41%), and legacy medical device ecosystems.</w:t>
      </w:r>
      <w:r>
        <w:rPr>
          <w:rFonts w:ascii="Arial" w:cs="Arial" w:eastAsia="Arial" w:hAnsi="Arial"/>
          <w:color w:val="1B2A4A"/>
          <w:sz w:val="16"/>
          <w:szCs w:val="16"/>
          <w:vertAlign w:val="superscript"/>
        </w:rPr>
        <w:t xml:space="preserve">41</w:t>
      </w:r>
      <w:r>
        <w:rPr>
          <w:rFonts w:ascii="Arial" w:cs="Arial" w:eastAsia="Arial" w:hAnsi="Arial"/>
          <w:sz w:val="22"/>
          <w:szCs w:val="22"/>
        </w:rPr>
        <w:t xml:space="preserve"> HHS proposed HIPAA Security Rule updates in December 2024 including mandatory MFA, encryption, and compliance audits, with estimated first-year costs of $9.3 billion.</w:t>
      </w:r>
      <w:r>
        <w:rPr>
          <w:rFonts w:ascii="Arial" w:cs="Arial" w:eastAsia="Arial" w:hAnsi="Arial"/>
          <w:color w:val="1B2A4A"/>
          <w:sz w:val="16"/>
          <w:szCs w:val="16"/>
          <w:vertAlign w:val="superscript"/>
        </w:rPr>
        <w:t xml:space="preserve">42</w:t>
      </w:r>
      <w:r>
        <w:rPr>
          <w:rFonts w:ascii="Arial" w:cs="Arial" w:eastAsia="Arial" w:hAnsi="Arial"/>
          <w:sz w:val="22"/>
          <w:szCs w:val="22"/>
        </w:rPr>
        <w:t xml:space="preserve"> The rule’s fate under the current regulatory environment is uncertain.</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Healthcare cybersecurity is a patient safety issue. Voluntary performance goals are insufficient when ransomware is associated with measurable increases in patient mortality.</w:t>
      </w:r>
    </w:p>
    <w:p>
      <w:r>
        <w:br w:type="page"/>
      </w:r>
    </w:p>
    <w:p>
      <w:pPr>
        <w:pStyle w:val="Heading1"/>
        <w:spacing w:after="240" w:before="360"/>
      </w:pPr>
      <w:r>
        <w:rPr>
          <w:rFonts w:ascii="Arial" w:cs="Arial" w:eastAsia="Arial" w:hAnsi="Arial"/>
          <w:b/>
          <w:bCs/>
          <w:color w:val="1B2A4A"/>
          <w:sz w:val="32"/>
          <w:szCs w:val="32"/>
        </w:rPr>
        <w:t xml:space="preserve">Section V — Offensive and Defensive Posture</w:t>
      </w:r>
    </w:p>
    <w:p>
      <w:pPr>
        <w:spacing w:after="200" w:before="0" w:line="276"/>
      </w:pPr>
      <w:r>
        <w:rPr>
          <w:rFonts w:ascii="Arial" w:cs="Arial" w:eastAsia="Arial" w:hAnsi="Arial"/>
          <w:sz w:val="22"/>
          <w:szCs w:val="22"/>
        </w:rPr>
        <w:t xml:space="preserve">U.S. Cyber Command’s defend-forward doctrine has produced operational results in multiple documented cases: pre-election defense operations in 2018, Trickbot disruption in 2020, and hunt-forward deployments that identified Chinese malware in allied partner networks.</w:t>
      </w:r>
      <w:r>
        <w:rPr>
          <w:rFonts w:ascii="Arial" w:cs="Arial" w:eastAsia="Arial" w:hAnsi="Arial"/>
          <w:color w:val="1B2A4A"/>
          <w:sz w:val="16"/>
          <w:szCs w:val="16"/>
          <w:vertAlign w:val="superscript"/>
        </w:rPr>
        <w:t xml:space="preserve">30</w:t>
      </w:r>
      <w:r>
        <w:rPr>
          <w:rFonts w:ascii="Arial" w:cs="Arial" w:eastAsia="Arial" w:hAnsi="Arial"/>
          <w:sz w:val="22"/>
          <w:szCs w:val="22"/>
        </w:rPr>
        <w:t xml:space="preserve"> Public reporting and legal analysis on NSPM-13 indicate it was intended to facilitate more time-sensitive offensive cyber operations by reducing earlier interagency constraints.</w:t>
      </w:r>
      <w:r>
        <w:rPr>
          <w:rFonts w:ascii="Arial" w:cs="Arial" w:eastAsia="Arial" w:hAnsi="Arial"/>
          <w:color w:val="1B2A4A"/>
          <w:sz w:val="16"/>
          <w:szCs w:val="16"/>
          <w:vertAlign w:val="superscript"/>
        </w:rPr>
        <w:t xml:space="preserve">43</w:t>
      </w:r>
    </w:p>
    <w:p>
      <w:pPr>
        <w:spacing w:after="200" w:before="0" w:line="276"/>
      </w:pPr>
      <w:r>
        <w:rPr>
          <w:rFonts w:ascii="Arial" w:cs="Arial" w:eastAsia="Arial" w:hAnsi="Arial"/>
          <w:sz w:val="22"/>
          <w:szCs w:val="22"/>
        </w:rPr>
        <w:t xml:space="preserve">The Vulnerabilities Equities Process balances vulnerability disclosure against retention for offensive exploitation. The process has been criticized as structurally weighted toward offense, with NSA serving as both executive secretariat and the heaviest user of retained vulnerabilities.</w:t>
      </w:r>
      <w:r>
        <w:rPr>
          <w:rFonts w:ascii="Arial" w:cs="Arial" w:eastAsia="Arial" w:hAnsi="Arial"/>
          <w:color w:val="1B2A4A"/>
          <w:sz w:val="16"/>
          <w:szCs w:val="16"/>
          <w:vertAlign w:val="superscript"/>
        </w:rPr>
        <w:t xml:space="preserve">44</w:t>
      </w:r>
      <w:r>
        <w:rPr>
          <w:rFonts w:ascii="Arial" w:cs="Arial" w:eastAsia="Arial" w:hAnsi="Arial"/>
          <w:sz w:val="22"/>
          <w:szCs w:val="22"/>
        </w:rPr>
        <w:t xml:space="preserve"> The 2017 Shadow Brokers leak, which enabled WannaCry, demonstrated the consequences of stockpiling.</w:t>
      </w:r>
    </w:p>
    <w:p>
      <w:pPr>
        <w:spacing w:after="200" w:before="0" w:line="276"/>
      </w:pPr>
      <w:r>
        <w:rPr>
          <w:rFonts w:ascii="Arial" w:cs="Arial" w:eastAsia="Arial" w:hAnsi="Arial"/>
          <w:sz w:val="22"/>
          <w:szCs w:val="22"/>
        </w:rPr>
        <w:t xml:space="preserve">Offensive cyber operations can impose costs on adversaries and disrupt specific campaigns. They cannot patch unprotected water systems, segment OT from IT in legacy environments, or replace the institutional capacity that CISA and NIST have lost. The current policy emphasis on offensive capability must be paired with sustained investment in defensive institutional capacity. The domestic defense problem is fundamentally an infrastructure and institutional capacity problem, and offensive operations—however valuable—do not address it.</w:t>
      </w:r>
    </w:p>
    <w:p>
      <w:r>
        <w:br w:type="page"/>
      </w:r>
    </w:p>
    <w:p>
      <w:pPr>
        <w:pStyle w:val="Heading1"/>
        <w:spacing w:after="240" w:before="360"/>
      </w:pPr>
      <w:r>
        <w:rPr>
          <w:rFonts w:ascii="Arial" w:cs="Arial" w:eastAsia="Arial" w:hAnsi="Arial"/>
          <w:b/>
          <w:bCs/>
          <w:color w:val="1B2A4A"/>
          <w:sz w:val="32"/>
          <w:szCs w:val="32"/>
        </w:rPr>
        <w:t xml:space="preserve">Section VI — What Can Be Done Now (0–5 Years)</w:t>
      </w:r>
    </w:p>
    <w:p>
      <w:pPr>
        <w:spacing w:after="200" w:before="0" w:line="276"/>
      </w:pPr>
      <w:r>
        <w:rPr>
          <w:rFonts w:ascii="Arial" w:cs="Arial" w:eastAsia="Arial" w:hAnsi="Arial"/>
          <w:sz w:val="22"/>
          <w:szCs w:val="22"/>
        </w:rPr>
        <w:t xml:space="preserve">The measures below are not new. Every one appears in existing CISA CPGs, EO 14028, or BOD 22-01. The policy contribution of this paper is not the list itself but the argument that these known requirements must be extended beyond federal agencies to the broader critical infrastructure base through enforceable grant conditions, procurement terms, participation requirements, and sector-specific regulation—and that this extension is achievable under existing authorities without new legislation.</w:t>
      </w:r>
    </w:p>
    <w:p>
      <w:pPr>
        <w:pStyle w:val="Heading2"/>
        <w:spacing w:after="180" w:before="280"/>
      </w:pPr>
      <w:r>
        <w:rPr>
          <w:rFonts w:ascii="Arial" w:cs="Arial" w:eastAsia="Arial" w:hAnsi="Arial"/>
          <w:b/>
          <w:bCs/>
          <w:color w:val="1B2A4A"/>
          <w:sz w:val="26"/>
          <w:szCs w:val="26"/>
        </w:rPr>
        <w:t xml:space="preserve">Phishing-Resistant MFA Completion</w:t>
      </w:r>
    </w:p>
    <w:p>
      <w:pPr>
        <w:spacing w:after="200" w:before="0" w:line="276"/>
      </w:pPr>
      <w:r>
        <w:rPr>
          <w:rFonts w:ascii="Arial" w:cs="Arial" w:eastAsia="Arial" w:hAnsi="Arial"/>
          <w:sz w:val="22"/>
          <w:szCs w:val="22"/>
        </w:rPr>
        <w:t xml:space="preserve">EO 14028 mandated phishing-resistant MFA for federal agencies. Extending MFA expectations through grant conditions, procurement terms, and healthcare participation requirements appears achievable under existing authorities. The Change Healthcare breach—193 million individuals affected through a portal lacking MFA—demonstrates the consequence of non-extension.</w:t>
      </w:r>
    </w:p>
    <w:p>
      <w:pPr>
        <w:pStyle w:val="Heading2"/>
        <w:spacing w:after="180" w:before="280"/>
      </w:pPr>
      <w:r>
        <w:rPr>
          <w:rFonts w:ascii="Arial" w:cs="Arial" w:eastAsia="Arial" w:hAnsi="Arial"/>
          <w:b/>
          <w:bCs/>
          <w:color w:val="1B2A4A"/>
          <w:sz w:val="26"/>
          <w:szCs w:val="26"/>
        </w:rPr>
        <w:t xml:space="preserve">KEV Patching Discipline</w:t>
      </w:r>
    </w:p>
    <w:p>
      <w:pPr>
        <w:spacing w:after="200" w:before="0" w:line="276"/>
      </w:pPr>
      <w:r>
        <w:rPr>
          <w:rFonts w:ascii="Arial" w:cs="Arial" w:eastAsia="Arial" w:hAnsi="Arial"/>
          <w:sz w:val="22"/>
          <w:szCs w:val="22"/>
        </w:rPr>
        <w:t xml:space="preserve">CISA’s Known Exploited Vulnerabilities catalog reached approximately 1,484 entries by end of 2025.</w:t>
      </w:r>
      <w:r>
        <w:rPr>
          <w:rFonts w:ascii="Arial" w:cs="Arial" w:eastAsia="Arial" w:hAnsi="Arial"/>
          <w:color w:val="1B2A4A"/>
          <w:sz w:val="16"/>
          <w:szCs w:val="16"/>
          <w:vertAlign w:val="superscript"/>
        </w:rPr>
        <w:t xml:space="preserve">45</w:t>
      </w:r>
      <w:r>
        <w:rPr>
          <w:rFonts w:ascii="Arial" w:cs="Arial" w:eastAsia="Arial" w:hAnsi="Arial"/>
          <w:sz w:val="22"/>
          <w:szCs w:val="22"/>
        </w:rPr>
        <w:t xml:space="preserve"> BOD 22-01 requires federal agencies to remediate KEVs within defined timelines. Extending KEV patching expectations to critical infrastructure operators receiving federal funding is achievable under existing grant conditions.</w:t>
      </w:r>
    </w:p>
    <w:p>
      <w:pPr>
        <w:pStyle w:val="Heading2"/>
        <w:spacing w:after="180" w:before="280"/>
      </w:pPr>
      <w:r>
        <w:rPr>
          <w:rFonts w:ascii="Arial" w:cs="Arial" w:eastAsia="Arial" w:hAnsi="Arial"/>
          <w:b/>
          <w:bCs/>
          <w:color w:val="1B2A4A"/>
          <w:sz w:val="26"/>
          <w:szCs w:val="26"/>
        </w:rPr>
        <w:t xml:space="preserve">Asset Inventory and Visibility</w:t>
      </w:r>
    </w:p>
    <w:p>
      <w:pPr>
        <w:spacing w:after="200" w:before="0" w:line="276"/>
      </w:pPr>
      <w:r>
        <w:rPr>
          <w:rFonts w:ascii="Arial" w:cs="Arial" w:eastAsia="Arial" w:hAnsi="Arial"/>
          <w:sz w:val="22"/>
          <w:szCs w:val="22"/>
        </w:rPr>
        <w:t xml:space="preserve">BOD 23-01 requires federal agencies to maintain comprehensive asset inventories. Extending this discipline to OT environments is the prerequisite for all other defenses. Organizations cannot remediate vulnerabilities they do not know exist.</w:t>
      </w:r>
    </w:p>
    <w:p>
      <w:pPr>
        <w:pStyle w:val="Heading2"/>
        <w:spacing w:after="180" w:before="280"/>
      </w:pPr>
      <w:r>
        <w:rPr>
          <w:rFonts w:ascii="Arial" w:cs="Arial" w:eastAsia="Arial" w:hAnsi="Arial"/>
          <w:b/>
          <w:bCs/>
          <w:color w:val="1B2A4A"/>
          <w:sz w:val="26"/>
          <w:szCs w:val="26"/>
        </w:rPr>
        <w:t xml:space="preserve">OT/IT Network Segmentation</w:t>
      </w:r>
    </w:p>
    <w:p>
      <w:pPr>
        <w:spacing w:after="200" w:before="0" w:line="276"/>
      </w:pPr>
      <w:r>
        <w:rPr>
          <w:rFonts w:ascii="Arial" w:cs="Arial" w:eastAsia="Arial" w:hAnsi="Arial"/>
          <w:sz w:val="22"/>
          <w:szCs w:val="22"/>
        </w:rPr>
        <w:t xml:space="preserve">Segmenting OT from IT networks is universally recommended but underimplemented. Routine penetration testing frequently reveals hidden connections between environments that operators believed were isolated. Segmentation does not require full modernization—it requires disciplined architecture within existing constraints.</w:t>
      </w:r>
    </w:p>
    <w:p>
      <w:pPr>
        <w:pStyle w:val="Heading2"/>
        <w:spacing w:after="180" w:before="280"/>
      </w:pPr>
      <w:r>
        <w:rPr>
          <w:rFonts w:ascii="Arial" w:cs="Arial" w:eastAsia="Arial" w:hAnsi="Arial"/>
          <w:b/>
          <w:bCs/>
          <w:color w:val="1B2A4A"/>
          <w:sz w:val="26"/>
          <w:szCs w:val="26"/>
        </w:rPr>
        <w:t xml:space="preserve">Edge Device Hardening</w:t>
      </w:r>
    </w:p>
    <w:p>
      <w:pPr>
        <w:spacing w:after="200" w:before="0" w:line="276"/>
      </w:pPr>
      <w:r>
        <w:rPr>
          <w:rFonts w:ascii="Arial" w:cs="Arial" w:eastAsia="Arial" w:hAnsi="Arial"/>
          <w:sz w:val="22"/>
          <w:szCs w:val="22"/>
        </w:rPr>
        <w:t xml:space="preserve">Volt Typhoon exploited end-of-life SOHO routers as primary entry vectors. Replacing EOL devices, disabling remote administrative access, and implementing network-level protections directly addresses the demonstrated PRC attack methodology.</w:t>
      </w:r>
    </w:p>
    <w:p>
      <w:pPr>
        <w:pStyle w:val="Heading2"/>
        <w:spacing w:after="180" w:before="280"/>
      </w:pPr>
      <w:r>
        <w:rPr>
          <w:rFonts w:ascii="Arial" w:cs="Arial" w:eastAsia="Arial" w:hAnsi="Arial"/>
          <w:b/>
          <w:bCs/>
          <w:color w:val="1B2A4A"/>
          <w:sz w:val="26"/>
          <w:szCs w:val="26"/>
        </w:rPr>
        <w:t xml:space="preserve">Immutable Backup Requirements and Centralized Logging</w:t>
      </w:r>
    </w:p>
    <w:p>
      <w:pPr>
        <w:spacing w:after="200" w:before="0" w:line="276"/>
      </w:pPr>
      <w:r>
        <w:rPr>
          <w:rFonts w:ascii="Arial" w:cs="Arial" w:eastAsia="Arial" w:hAnsi="Arial"/>
          <w:sz w:val="22"/>
          <w:szCs w:val="22"/>
        </w:rPr>
        <w:t xml:space="preserve">Stronger immutable-backup expectations can likely be implemented through HHS guidance, conditions of participation, and sector-specific performance goals without new legislation. OMB M-21-31 maturity levels for centralized logging survived the Trump EO 14306 amendments, reflecting bipartisan consensus. CIRCIA, even in narrowed form, would create the first cross-sector mandatory incident reporting framework.</w:t>
      </w:r>
    </w:p>
    <w:p>
      <w:pPr>
        <w:pStyle w:val="Heading2"/>
        <w:spacing w:after="180" w:before="280"/>
      </w:pPr>
      <w:r>
        <w:rPr>
          <w:rFonts w:ascii="Arial" w:cs="Arial" w:eastAsia="Arial" w:hAnsi="Arial"/>
          <w:b/>
          <w:bCs/>
          <w:color w:val="1B2A4A"/>
          <w:sz w:val="26"/>
          <w:szCs w:val="26"/>
        </w:rPr>
        <w:t xml:space="preserve">Cost Constraints and Funding Mechanisms</w:t>
      </w:r>
    </w:p>
    <w:p>
      <w:pPr>
        <w:spacing w:after="200" w:before="0" w:line="276"/>
      </w:pPr>
      <w:r>
        <w:rPr>
          <w:rFonts w:ascii="Arial" w:cs="Arial" w:eastAsia="Arial" w:hAnsi="Arial"/>
          <w:sz w:val="22"/>
          <w:szCs w:val="22"/>
        </w:rPr>
        <w:t xml:space="preserve">This paper does not include a comprehensive cost analysis, and that omission limits its implementation specificity. HHS’s own estimate for the HIPAA Security Rule NPRM is $9.3 billion in first-year costs.</w:t>
      </w:r>
      <w:r>
        <w:rPr>
          <w:rFonts w:ascii="Arial" w:cs="Arial" w:eastAsia="Arial" w:hAnsi="Arial"/>
          <w:color w:val="1B2A4A"/>
          <w:sz w:val="16"/>
          <w:szCs w:val="16"/>
          <w:vertAlign w:val="superscript"/>
        </w:rPr>
        <w:t xml:space="preserve">42</w:t>
      </w:r>
      <w:r>
        <w:rPr>
          <w:rFonts w:ascii="Arial" w:cs="Arial" w:eastAsia="Arial" w:hAnsi="Arial"/>
          <w:sz w:val="22"/>
          <w:szCs w:val="22"/>
        </w:rPr>
        <w:t xml:space="preserve"> OT/IT segmentation, MFA deployment, and edge device replacement impose real costs on operators—particularly small water utilities, rural hospitals, and municipal systems with limited capital budgets. Any credible enforcement extension must be paired with funding mechanisms: existing BIL/IRA grant programs, CMS incentive payments, USDA Rural Utilities Service cybersecurity grants, FEMA preparedness grants with cybersecurity set-asides, insurance premium adjustments, or tax incentives for documented compliance. Without a funding pathway, mandates without resources reproduce the enforcement gap this paper identifies.</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Every measure listed above addresses a vulnerability exploited in a documented incident. The policy contribution is the enforcement extension mechanism paired with funding, not the list. The limiting factor is execution discipline and resources, not framework availability.</w:t>
      </w:r>
    </w:p>
    <w:p>
      <w:r>
        <w:br w:type="page"/>
      </w:r>
    </w:p>
    <w:p>
      <w:pPr>
        <w:pStyle w:val="Heading1"/>
        <w:spacing w:after="240" w:before="360"/>
      </w:pPr>
      <w:r>
        <w:rPr>
          <w:rFonts w:ascii="Arial" w:cs="Arial" w:eastAsia="Arial" w:hAnsi="Arial"/>
          <w:b/>
          <w:bCs/>
          <w:color w:val="1B2A4A"/>
          <w:sz w:val="32"/>
          <w:szCs w:val="32"/>
        </w:rPr>
        <w:t xml:space="preserve">Section VII — Policy Architecture</w:t>
      </w:r>
    </w:p>
    <w:p>
      <w:pPr>
        <w:spacing w:after="200" w:before="0" w:line="276"/>
      </w:pPr>
      <w:r>
        <w:rPr>
          <w:rFonts w:ascii="Arial" w:cs="Arial" w:eastAsia="Arial" w:hAnsi="Arial"/>
          <w:sz w:val="22"/>
          <w:szCs w:val="22"/>
        </w:rPr>
        <w:t xml:space="preserve">A credible cybersecurity policy is a coordination problem across regulation, standards, enforcement, offensive operations, intelligence sharing, workforce development, and private-sector engagement—not a single-agency or single-technology solution.</w:t>
      </w:r>
    </w:p>
    <w:p>
      <w:pPr>
        <w:pStyle w:val="Heading3"/>
        <w:spacing w:after="140" w:before="240"/>
      </w:pPr>
      <w:r>
        <w:rPr>
          <w:rFonts w:ascii="Arial" w:cs="Arial" w:eastAsia="Arial" w:hAnsi="Arial"/>
          <w:b/>
          <w:bCs/>
          <w:color w:val="1B2A4A"/>
          <w:sz w:val="24"/>
          <w:szCs w:val="24"/>
        </w:rPr>
        <w:t xml:space="preserve">7.1 DHS / CISA</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Public reporting indicates CISA has lost approximately one-third of its workforce during a period of unusually intense nation-state cyber activity against U.S. infrastructure. Critical programs including the JCDC, regional teams, and stakeholder engagement have been degraded. The agency lacks a Senate-confirmed director.</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Stabilize CISA staffing at levels sufficient to maintain threat hunting, incident response coordination, and critical infrastructure engagement. Restore JCDC contractor support. Confirm a permanent director. Finalize CIRCIA within the narrowest defensible scope to establish cross-sector reporting.</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If CISA cannot maintain operational tempo, adversary pre-positioning in critical infrastructure will proceed without coordinated detection or response. The coordination function is operationally indispensable.</w:t>
      </w:r>
    </w:p>
    <w:p>
      <w:pPr>
        <w:pStyle w:val="Heading3"/>
        <w:spacing w:after="140" w:before="240"/>
      </w:pPr>
      <w:r>
        <w:rPr>
          <w:rFonts w:ascii="Arial" w:cs="Arial" w:eastAsia="Arial" w:hAnsi="Arial"/>
          <w:b/>
          <w:bCs/>
          <w:color w:val="1B2A4A"/>
          <w:sz w:val="24"/>
          <w:szCs w:val="24"/>
        </w:rPr>
        <w:t xml:space="preserve">7.2 NIST</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The Computer Security Division has lost its chief and approximately 20% of staff. The NVD backlog reached approximately 25,000 unprocessed CVEs. Workforce reductions directly impair CSF maintenance, SP 800-series updates, and PQC standardization.</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Stabilize and rebuild CSD staffing toward pre-2025 capacity. Fund the NVD through existing contracts and additional support. Protect PQC standardization timelines from workforce disruption.</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NIST standards are the foundation of U.S. and allied cybersecurity governance. Degrading NIST’s capacity to maintain them undermines every downstream implementation.</w:t>
      </w:r>
    </w:p>
    <w:p>
      <w:pPr>
        <w:pStyle w:val="Heading3"/>
        <w:spacing w:after="140" w:before="240"/>
      </w:pPr>
      <w:r>
        <w:rPr>
          <w:rFonts w:ascii="Arial" w:cs="Arial" w:eastAsia="Arial" w:hAnsi="Arial"/>
          <w:b/>
          <w:bCs/>
          <w:color w:val="1B2A4A"/>
          <w:sz w:val="24"/>
          <w:szCs w:val="24"/>
        </w:rPr>
        <w:t xml:space="preserve">7.3 DoD / Cyber Command</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Offensive capability is strong but operates under publicly reported operational friction regarding Russia-related cyber and information planning. The VEP has been criticized as structurally biased toward offense. The defend-forward doctrine requires sustained allied engagement.</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Maintain offensive operational capacity and allied hunt-forward programs. Reform the VEP to ensure defensive equities receive adequate weight. Clarify NSPM-13 authorities for congressional oversight.</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Offensive cyber operations are a genuine asymmetric advantage that must be sustained while acknowledged as insufficient for domestic infrastructure defense.</w:t>
      </w:r>
    </w:p>
    <w:p>
      <w:pPr>
        <w:pStyle w:val="Heading3"/>
        <w:spacing w:after="140" w:before="240"/>
      </w:pPr>
      <w:r>
        <w:rPr>
          <w:rFonts w:ascii="Arial" w:cs="Arial" w:eastAsia="Arial" w:hAnsi="Arial"/>
          <w:b/>
          <w:bCs/>
          <w:color w:val="1B2A4A"/>
          <w:sz w:val="24"/>
          <w:szCs w:val="24"/>
        </w:rPr>
        <w:t xml:space="preserve">7.4 Congress</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Cybersecurity governance is fragmented across at least seven committees. CIRCIA remains unfinalized. Workforce programs lack sustained funding. Information-sharing liability protections need updating.</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Finalize CIRCIA. Fund CISA and NIST at levels consistent with stated strategic ambitions. Establish minimum cybersecurity standards for water and other unregulated critical infrastructure sectors. Appropriate dedicated funding for small-operator compliance assistance.</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Congressional action determines whether national cyber strategies are aspirational documents or funded mandates.</w:t>
      </w:r>
    </w:p>
    <w:p>
      <w:pPr>
        <w:pStyle w:val="Heading3"/>
        <w:spacing w:after="140" w:before="240"/>
      </w:pPr>
      <w:r>
        <w:rPr>
          <w:rFonts w:ascii="Arial" w:cs="Arial" w:eastAsia="Arial" w:hAnsi="Arial"/>
          <w:b/>
          <w:bCs/>
          <w:color w:val="1B2A4A"/>
          <w:sz w:val="24"/>
          <w:szCs w:val="24"/>
        </w:rPr>
        <w:t xml:space="preserve">7.5 HHS / Healthcare</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HIPAA Security Rule has not been substantively updated since 2013. Voluntary CPGs have not achieved adequate adoption. The proposed HIPAA NPRM’s fate is uncertain under the current regulatory environment.</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At minimum, finalize the HIPAA Security Rule update with mandatory MFA, encryption, and third-party risk management requirements. Provide financial support to small and rural hospitals through CMS incentive payments and dedicated grant programs.</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Healthcare cybersecurity is a patient safety issue. Regulatory inaction has measurable consequences in patient mortality during ransomware events.</w:t>
      </w:r>
    </w:p>
    <w:p>
      <w:pPr>
        <w:pStyle w:val="Heading3"/>
        <w:spacing w:after="140" w:before="240"/>
      </w:pPr>
      <w:r>
        <w:rPr>
          <w:rFonts w:ascii="Arial" w:cs="Arial" w:eastAsia="Arial" w:hAnsi="Arial"/>
          <w:b/>
          <w:bCs/>
          <w:color w:val="1B2A4A"/>
          <w:sz w:val="24"/>
          <w:szCs w:val="24"/>
        </w:rPr>
        <w:t xml:space="preserve">7.6 Sector Regulators (FERC, FCC, EPA, TSA)</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Regulatory authority and enforcement capacity vary enormously across sectors. NERC CIP provides enforceable standards for energy; water has no federal mandate; telecom standards were imposed then rescinded; TSA pipeline directives face renewal uncertainty.</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Move toward enforceable minimum cybersecurity standards across all 16 critical infrastructure sectors, calibrated to sector risk and operator capacity. Use existing SRMA authorities where possible. Accept that mandates establish a floor, not a ceiling—compliance does not equal security.</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The evidence from water, telecom, and healthcare indicates that voluntary approaches alone are insufficient in sectors with fragmented ownership, limited resources, and persistent nation-state targeting.</w:t>
      </w:r>
    </w:p>
    <w:p>
      <w:pPr>
        <w:pStyle w:val="Heading3"/>
        <w:spacing w:after="140" w:before="240"/>
      </w:pPr>
      <w:r>
        <w:rPr>
          <w:rFonts w:ascii="Arial" w:cs="Arial" w:eastAsia="Arial" w:hAnsi="Arial"/>
          <w:b/>
          <w:bCs/>
          <w:color w:val="1B2A4A"/>
          <w:sz w:val="24"/>
          <w:szCs w:val="24"/>
        </w:rPr>
        <w:t xml:space="preserve">7.7 Private Sector Operators</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Private operators own the large majority of critical infrastructure and face the most direct exposure to nation-state intrusion. Compliance burden is real. Information-sharing friction persists. Many operators lack internal cybersecurity expertise, particularly in OT/ICS environments.</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Clarify operator responsibilities through enforceable minimums rather than unbounded voluntary guidance. Provide liability protections for good-faith information sharing. Fund sector-specific technical assistance for small operators.</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The private sector cannot bear the full burden of national cyber defense against state-sponsored adversaries. But operators must meet minimum security baselines as a condition of operating critical infrastructure.</w:t>
      </w:r>
    </w:p>
    <w:p>
      <w:r>
        <w:br w:type="page"/>
      </w:r>
    </w:p>
    <w:p>
      <w:pPr>
        <w:pStyle w:val="Heading1"/>
        <w:spacing w:after="240" w:before="360"/>
      </w:pPr>
      <w:r>
        <w:rPr>
          <w:rFonts w:ascii="Arial" w:cs="Arial" w:eastAsia="Arial" w:hAnsi="Arial"/>
          <w:b/>
          <w:bCs/>
          <w:color w:val="1B2A4A"/>
          <w:sz w:val="32"/>
          <w:szCs w:val="32"/>
        </w:rPr>
        <w:t xml:space="preserve">Section VIII — Implementation Timeline</w:t>
      </w:r>
    </w:p>
    <w:p>
      <w:pPr>
        <w:pStyle w:val="Heading2"/>
        <w:spacing w:after="180" w:before="280"/>
      </w:pPr>
      <w:r>
        <w:rPr>
          <w:rFonts w:ascii="Arial" w:cs="Arial" w:eastAsia="Arial" w:hAnsi="Arial"/>
          <w:b/>
          <w:bCs/>
          <w:color w:val="1B2A4A"/>
          <w:sz w:val="26"/>
          <w:szCs w:val="26"/>
        </w:rPr>
        <w:t xml:space="preserve">0–3 Years (2026–2029)</w:t>
      </w:r>
    </w:p>
    <w:p>
      <w:pPr>
        <w:spacing w:after="200" w:before="0" w:line="276"/>
      </w:pPr>
      <w:r>
        <w:rPr>
          <w:rFonts w:ascii="Arial" w:cs="Arial" w:eastAsia="Arial" w:hAnsi="Arial"/>
          <w:sz w:val="22"/>
          <w:szCs w:val="22"/>
        </w:rPr>
        <w:t xml:space="preserve">Stabilize CISA and NIST staffing. Finalize CIRCIA. Complete phishing-resistant MFA deployment across federal agencies and federally funded critical infrastructure. Enforce KEV patching discipline through grant conditions. Implement asset inventory requirements for OT environments. Begin OT/IT segmentation enforcement in energy, water, and healthcare. Harden edge devices across Volt Typhoon’s demonstrated attack surface. Enforce CMMC Phase 1 with support for SMB compliance. Finalize HIPAA Security Rule update or implement HHS CPGs with enforcement mechanism.</w:t>
      </w:r>
    </w:p>
    <w:p>
      <w:pPr>
        <w:spacing w:after="200" w:before="0" w:line="276"/>
      </w:pPr>
      <w:r>
        <w:rPr>
          <w:rFonts w:ascii="Arial" w:cs="Arial" w:eastAsia="Arial" w:hAnsi="Arial"/>
          <w:b/>
          <w:bCs/>
          <w:sz w:val="22"/>
          <w:szCs w:val="22"/>
        </w:rPr>
        <w:t>Quantitative benchmarks (2029): CISA staffing restored to at least 3,000 federal positions (based on pre-January 2025 reported headcount of ~3,400, discounted for near-term appropriations constraints). NIST CSD staffing restored to at least 80 federal employees (based on pre-2025 complement of ~95, discounted similarly). CIRCIA operational with first annual incident data report published. At least 50% of CMMC-required organizations at Level 2 certification (author’s estimate based on current certification velocity and Phase 2 enforcement timelines). Zero federally funded critical infrastructure operators accessible through default credentials or unmanaged KEVs on internet-facing systems.48</w:t>
      </w:r>
      <w:r>
        <w:rPr>
          <w:rFonts w:ascii="Arial" w:cs="Arial" w:eastAsia="Arial" w:hAnsi="Arial"/>
          <w:sz w:val="22"/>
          <w:szCs w:val="22"/>
        </w:rPr>
      </w:r>
      <w:r>
        <w:rPr>
          <w:rFonts w:ascii="Arial" w:cs="Arial" w:eastAsia="Arial" w:hAnsi="Arial"/>
          <w:color w:val="1B2A4A"/>
          <w:sz w:val="16"/>
          <w:szCs w:val="16"/>
          <w:vertAlign w:val="superscript"/>
        </w:rPr>
      </w:r>
    </w:p>
    <w:p>
      <w:pPr>
        <w:pStyle w:val="Heading2"/>
        <w:spacing w:after="180" w:before="280"/>
      </w:pPr>
      <w:r>
        <w:rPr>
          <w:rFonts w:ascii="Arial" w:cs="Arial" w:eastAsia="Arial" w:hAnsi="Arial"/>
          <w:b/>
          <w:bCs/>
          <w:color w:val="1B2A4A"/>
          <w:sz w:val="26"/>
          <w:szCs w:val="26"/>
        </w:rPr>
        <w:t xml:space="preserve">3–7 Years (2029–2033)</w:t>
      </w:r>
    </w:p>
    <w:p>
      <w:pPr>
        <w:spacing w:after="200" w:before="0" w:line="276"/>
      </w:pPr>
      <w:r>
        <w:rPr>
          <w:rFonts w:ascii="Arial" w:cs="Arial" w:eastAsia="Arial" w:hAnsi="Arial"/>
          <w:sz w:val="22"/>
          <w:szCs w:val="22"/>
        </w:rPr>
        <w:t xml:space="preserve">Achieve enforceable minimum cybersecurity standards across all 16 critical infrastructure sectors. Complete PQC migration for high-priority federal and critical infrastructure systems. Expand OT/ICS workforce pipeline through targeted training programs. Evaluate CIRCIA data to adjust sector-specific requirements based on observed threat patterns. Integrate cybersecurity metrics into critical infrastructure resilience planning alongside physical and supply-chain resilience.</w:t>
      </w:r>
    </w:p>
    <w:p>
      <w:pPr>
        <w:spacing w:after="200" w:before="0" w:line="276"/>
      </w:pPr>
      <w:r>
        <w:rPr>
          <w:rFonts w:ascii="Arial" w:cs="Arial" w:eastAsia="Arial" w:hAnsi="Arial"/>
          <w:b/>
          <w:bCs/>
          <w:sz w:val="22"/>
          <w:szCs w:val="22"/>
        </w:rPr>
        <w:t xml:space="preserve">Quantitative benchmarks (2033): </w:t>
      </w:r>
      <w:r>
        <w:rPr>
          <w:rFonts w:ascii="Arial" w:cs="Arial" w:eastAsia="Arial" w:hAnsi="Arial"/>
          <w:sz w:val="22"/>
          <w:szCs w:val="22"/>
        </w:rPr>
        <w:t xml:space="preserve">All 16 critical infrastructure sectors operating under enforceable minimum cybersecurity standards with designated enforcement authority. 100% of CMMC-required organizations certified. PQC migration complete for all CNSA 2.0-designated national security systems. U.S. cybersecurity workforce gap reduced by at least 40% from 2025 baseline.</w:t>
      </w:r>
    </w:p>
    <w:p>
      <w:r>
        <w:br w:type="page"/>
      </w:r>
    </w:p>
    <w:p>
      <w:pPr>
        <w:pStyle w:val="Heading1"/>
        <w:spacing w:after="240" w:before="360"/>
      </w:pPr>
      <w:r>
        <w:rPr>
          <w:rFonts w:ascii="Arial" w:cs="Arial" w:eastAsia="Arial" w:hAnsi="Arial"/>
          <w:b/>
          <w:bCs/>
          <w:color w:val="1B2A4A"/>
          <w:sz w:val="32"/>
          <w:szCs w:val="32"/>
        </w:rPr>
        <w:t xml:space="preserve">Section IX — Scope Limitations and Explicit Non-Claims</w:t>
      </w:r>
    </w:p>
    <w:p>
      <w:pPr>
        <w:spacing w:after="200" w:before="0" w:line="276"/>
      </w:pPr>
      <w:r>
        <w:rPr>
          <w:rFonts w:ascii="Arial" w:cs="Arial" w:eastAsia="Arial" w:hAnsi="Arial"/>
          <w:sz w:val="22"/>
          <w:szCs w:val="22"/>
        </w:rPr>
        <w:t xml:space="preserve">This section identifies the boundaries of the paper’s analysis. These are acknowledged limitations, not oversights.</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rely on classified sources, classified briefings, or non-public government information. All claims are derived from publicly available primary and secondary sources as documented in the endnotes.</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include a comprehensive cost-benefit analysis of proposed enforcement extensions. The omission is acknowledged as a limitation on implementation specificity. Cost magnitudes are noted where available (e.g., HHS’s $9.3 billion HIPAA NPRM estimate) but sector-wide modeling is beyond scope.</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conduct sector-specific implementation modeling. The recommendations identify mechanisms (grant conditions, participation requirements, enforceable minimums) but do not model deployment timelines, staffing requirements, or compliance rates at sector level.</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conduct a comparative institutional analysis of international cybersecurity governance models. The EU NIS2 and Australia SOCI Act references in Section III provide directional precedent but not operational comparison.</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argue that enforcement alone eliminates risk. Compliance establishes a floor, not security. The NERC CIP / Volt Typhoon evidence internal to this paper demonstrates that mandates are necessary but insufficient.</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Workforce figures for CISA and NIST are estimates derived from public reporting, appropriations materials, and press accounts of agency testimony. Exact internal headcounts are not publicly released. The paper’s claims are calibrated accordingly.</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provide legal analysis of statutory authority for proposed grant-condition enforcement mechanisms. The assertion that existing authorities are sufficient rests on precedent (CMS conditions of participation, federal grant requirements) rather than formal legal opinion.</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Cybersecurity cannot be “solved.” Risk can be managed, reduced, and made more expensive for adversaries. Zero risk is not achievable. Some adversary campaigns are persistent by design and must be managed through resilience rather than prevention.</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Technology alone is insufficient. AI, automation, and advanced tooling support but do not replace workforce capacity, institutional knowledge, and operational discipline.</w:t>
      </w:r>
    </w:p>
    <w:p>
      <w:pPr>
        <w:spacing w:after="120" w:before="0" w:line="276"/>
        <w:ind w:left="360" w:hanging="36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argue that current institutional workforce reductions are irreversible. It argues that they are occurring at a time when the threat environment makes them operationally consequential.</w:t>
      </w:r>
    </w:p>
    <w:p>
      <w:r>
        <w:br w:type="page"/>
      </w:r>
    </w:p>
    <w:p>
      <w:pPr>
        <w:pStyle w:val="Heading1"/>
        <w:spacing w:after="240" w:before="360"/>
      </w:pPr>
      <w:r>
        <w:rPr>
          <w:rFonts w:ascii="Arial" w:cs="Arial" w:eastAsia="Arial" w:hAnsi="Arial"/>
          <w:b/>
          <w:bCs/>
          <w:color w:val="1B2A4A"/>
          <w:sz w:val="32"/>
          <w:szCs w:val="32"/>
        </w:rPr>
        <w:t xml:space="preserve">Conclusion</w:t>
      </w:r>
    </w:p>
    <w:p>
      <w:pPr>
        <w:spacing w:after="200" w:before="0" w:line="276"/>
      </w:pPr>
      <w:r>
        <w:rPr>
          <w:rFonts w:ascii="Arial" w:cs="Arial" w:eastAsia="Arial" w:hAnsi="Arial"/>
          <w:sz w:val="22"/>
          <w:szCs w:val="22"/>
        </w:rPr>
        <w:t xml:space="preserve">The United States faces a cybersecurity environment defined by persistent nation-state intrusion, institutional capacity erosion, and a growing distance between strategic ambition and operational execution. PRC actors are pre-positioned in U.S. critical infrastructure with assessed capability to disrupt operations during a conflict. CISA and NIST—the institutions responsible for coordination and standards—have lost significant workforce capacity. Critical infrastructure sectors including water, healthcare, and telecom operate under inadequate or nonexistent cybersecurity mandates.</w:t>
      </w:r>
    </w:p>
    <w:p>
      <w:pPr>
        <w:spacing w:after="200" w:before="0" w:line="276"/>
      </w:pPr>
      <w:r>
        <w:rPr>
          <w:rFonts w:ascii="Arial" w:cs="Arial" w:eastAsia="Arial" w:hAnsi="Arial"/>
          <w:sz w:val="22"/>
          <w:szCs w:val="22"/>
        </w:rPr>
        <w:t xml:space="preserve">The highest-confidence near-term actions are known and require no new legislation. The policy contribution is establishing the enforcement and extension mechanisms—grant conditions, participation requirements, enforceable sector-specific minimums—that move known requirements from federal agencies to the broader critical infrastructure base. This must be paired with funding mechanisms that prevent mandates from becoming unfunded liabilities for small operators, and with monitoring and threat intelligence that goes beyond checkbox compliance.</w:t>
      </w:r>
    </w:p>
    <w:p>
      <w:pPr>
        <w:spacing w:after="200" w:before="0" w:line="276"/>
      </w:pPr>
      <w:r>
        <w:rPr>
          <w:rFonts w:ascii="Arial" w:cs="Arial" w:eastAsia="Arial" w:hAnsi="Arial"/>
          <w:sz w:val="22"/>
          <w:szCs w:val="22"/>
        </w:rPr>
        <w:t xml:space="preserve">The execution gap persists because the institutional incentives that produce it—concentrated compliance costs, diffuse security benefits, fragmented authority across multiple committees and agencies—have not been addressed. International precedents demonstrate that cross-sector enforceable minimums are achievable. The question is not whether they are desirable but whether the United States will implement them before the next major infrastructure disruption forces the issue.</w:t>
      </w:r>
    </w:p>
    <w:p>
      <w:pPr>
        <w:spacing w:after="200" w:before="0" w:line="276"/>
      </w:pPr>
      <w:r>
        <w:rPr>
          <w:rFonts w:ascii="Arial" w:cs="Arial" w:eastAsia="Arial" w:hAnsi="Arial"/>
          <w:b/>
          <w:bCs/>
          <w:sz w:val="22"/>
          <w:szCs w:val="22"/>
        </w:rPr>
        <w:t xml:space="preserve">The central policy question is not whether the United States has adequate cybersecurity doctrine. It does. The question is whether the institutions charged with executing that doctrine will retain sufficient capacity to defend against adversaries who are not pausing while U.S. institutional capacity contracts. The available evidence supports the assessment that the current trajectory creates avoidable risk to critical infrastructure, public safety, and national security.</w:t>
      </w:r>
    </w:p>
    <w:p>
      <w:r>
        <w:br w:type="page"/>
      </w:r>
    </w:p>
    <w:p>
      <w:pPr>
        <w:pStyle w:val="Heading1"/>
        <w:spacing w:after="240" w:before="360"/>
      </w:pPr>
      <w:r>
        <w:rPr>
          <w:rFonts w:ascii="Arial" w:cs="Arial" w:eastAsia="Arial" w:hAnsi="Arial"/>
          <w:b/>
          <w:bCs/>
          <w:color w:val="1B2A4A"/>
          <w:sz w:val="32"/>
          <w:szCs w:val="32"/>
        </w:rPr>
        <w:t xml:space="preserve">Endnotes</w:t>
      </w:r>
    </w:p>
    <w:p>
      <w:pPr>
        <w:spacing w:after="80" w:before="0" w:line="276"/>
      </w:pPr>
      <w:r>
        <w:rPr>
          <w:rFonts w:ascii="Arial" w:cs="Arial" w:eastAsia="Arial" w:hAnsi="Arial"/>
          <w:b/>
          <w:bCs/>
          <w:sz w:val="20"/>
          <w:szCs w:val="20"/>
        </w:rPr>
        <w:t xml:space="preserve">1. </w:t>
      </w:r>
      <w:r>
        <w:rPr>
          <w:rFonts w:ascii="Arial" w:cs="Arial" w:eastAsia="Arial" w:hAnsi="Arial"/>
          <w:sz w:val="20"/>
          <w:szCs w:val="20"/>
        </w:rPr>
        <w:t xml:space="preserve">Office of the Director of National Intelligence, Annual Threat Assessment of the U.S. Intelligence Community, March 25, 2025; ODNI, 2026 Annual Threat Assessment, March 18, 2026. Primary source.</w:t>
      </w:r>
    </w:p>
    <w:p>
      <w:pPr>
        <w:spacing w:after="80" w:before="0" w:line="276"/>
      </w:pPr>
      <w:r>
        <w:rPr>
          <w:rFonts w:ascii="Arial" w:cs="Arial" w:eastAsia="Arial" w:hAnsi="Arial"/>
          <w:b/>
          <w:bCs/>
          <w:sz w:val="20"/>
          <w:szCs w:val="20"/>
        </w:rPr>
        <w:t xml:space="preserve">2. </w:t>
      </w:r>
      <w:r>
        <w:rPr>
          <w:rFonts w:ascii="Arial" w:cs="Arial" w:eastAsia="Arial" w:hAnsi="Arial"/>
          <w:sz w:val="20"/>
          <w:szCs w:val="20"/>
        </w:rPr>
        <w:t xml:space="preserve">CISA/NSA/FBI Joint Cybersecurity Advisory AA24-038A, PRC State-Sponsored Actors Compromise and Maintain Persistent Access to U.S. Critical Infrastructure, February 7, 2024 (updated March 2024). Primary source.</w:t>
      </w:r>
    </w:p>
    <w:p>
      <w:pPr>
        <w:spacing w:after="80" w:before="0" w:line="276"/>
      </w:pPr>
      <w:r>
        <w:rPr>
          <w:rFonts w:ascii="Arial" w:cs="Arial" w:eastAsia="Arial" w:hAnsi="Arial"/>
          <w:b/>
          <w:bCs/>
          <w:sz w:val="20"/>
          <w:szCs w:val="20"/>
        </w:rPr>
        <w:t xml:space="preserve">3. </w:t>
      </w:r>
      <w:r>
        <w:rPr>
          <w:rFonts w:ascii="Arial" w:cs="Arial" w:eastAsia="Arial" w:hAnsi="Arial"/>
          <w:sz w:val="20"/>
          <w:szCs w:val="20"/>
        </w:rPr>
        <w:t xml:space="preserve">CISA/NSA/FBI Joint Advisory AA24-249A, Russian Military Cyber Actors Target US and Global Critical Infrastructure, September 5, 2024. Primary source.</w:t>
      </w:r>
    </w:p>
    <w:p>
      <w:pPr>
        <w:spacing w:after="80" w:before="0" w:line="276"/>
      </w:pPr>
      <w:r>
        <w:rPr>
          <w:rFonts w:ascii="Arial" w:cs="Arial" w:eastAsia="Arial" w:hAnsi="Arial"/>
          <w:b/>
          <w:bCs/>
          <w:sz w:val="20"/>
          <w:szCs w:val="20"/>
        </w:rPr>
        <w:t xml:space="preserve">4. </w:t>
      </w:r>
      <w:r>
        <w:rPr>
          <w:rFonts w:ascii="Arial" w:cs="Arial" w:eastAsia="Arial" w:hAnsi="Arial"/>
          <w:sz w:val="20"/>
          <w:szCs w:val="20"/>
        </w:rPr>
        <w:t xml:space="preserve">FBI Public Service Announcement PSA250226, North Korea Responsible for $1.5 Billion Bybit Hack, February 26, 2025. Primary source.</w:t>
      </w:r>
    </w:p>
    <w:p>
      <w:pPr>
        <w:spacing w:after="80" w:before="0" w:line="276"/>
      </w:pPr>
      <w:r>
        <w:rPr>
          <w:rFonts w:ascii="Arial" w:cs="Arial" w:eastAsia="Arial" w:hAnsi="Arial"/>
          <w:b/>
          <w:bCs/>
          <w:sz w:val="20"/>
          <w:szCs w:val="20"/>
        </w:rPr>
        <w:t xml:space="preserve">5. </w:t>
      </w:r>
      <w:r>
        <w:rPr>
          <w:rFonts w:ascii="Arial" w:cs="Arial" w:eastAsia="Arial" w:hAnsi="Arial"/>
          <w:sz w:val="20"/>
          <w:szCs w:val="20"/>
        </w:rPr>
        <w:t xml:space="preserve">U.S. Department of Justice, court-authorized KV Botnet disruption materials, January 2024; subsequent reporting on infrastructure reconstruction from Reuters and CISA advisory updates. Primary source (DOJ) supplemented by independent reporting.</w:t>
      </w:r>
    </w:p>
    <w:p>
      <w:pPr>
        <w:spacing w:after="80" w:before="0" w:line="276"/>
      </w:pPr>
      <w:r>
        <w:rPr>
          <w:rFonts w:ascii="Arial" w:cs="Arial" w:eastAsia="Arial" w:hAnsi="Arial"/>
          <w:b/>
          <w:bCs/>
          <w:sz w:val="20"/>
          <w:szCs w:val="20"/>
        </w:rPr>
        <w:t xml:space="preserve">6. </w:t>
      </w:r>
      <w:r>
        <w:rPr>
          <w:rFonts w:ascii="Arial" w:cs="Arial" w:eastAsia="Arial" w:hAnsi="Arial"/>
          <w:sz w:val="20"/>
          <w:szCs w:val="20"/>
        </w:rPr>
        <w:t xml:space="preserve">U.S. Senate Committee on Commerce, Science, &amp; Transportation, Cantwell correspondence, February 2026; FCC Orders FCC 25-9 and FCC 25-81. Primary source (Senate/FCC).</w:t>
      </w:r>
    </w:p>
    <w:p>
      <w:pPr>
        <w:spacing w:after="80" w:before="0" w:line="276"/>
      </w:pPr>
      <w:r>
        <w:rPr>
          <w:rFonts w:ascii="Arial" w:cs="Arial" w:eastAsia="Arial" w:hAnsi="Arial"/>
          <w:b/>
          <w:bCs/>
          <w:sz w:val="20"/>
          <w:szCs w:val="20"/>
        </w:rPr>
        <w:t xml:space="preserve">7. </w:t>
      </w:r>
      <w:r>
        <w:rPr>
          <w:rFonts w:ascii="Arial" w:cs="Arial" w:eastAsia="Arial" w:hAnsi="Arial"/>
          <w:sz w:val="20"/>
          <w:szCs w:val="20"/>
        </w:rPr>
        <w:t xml:space="preserve">CISA Joint Advisory AA25-239A, August 27, 2025. Primary source.</w:t>
      </w:r>
    </w:p>
    <w:p>
      <w:pPr>
        <w:spacing w:after="80" w:before="0" w:line="276"/>
      </w:pPr>
      <w:r>
        <w:rPr>
          <w:rFonts w:ascii="Arial" w:cs="Arial" w:eastAsia="Arial" w:hAnsi="Arial"/>
          <w:b/>
          <w:bCs/>
          <w:sz w:val="20"/>
          <w:szCs w:val="20"/>
        </w:rPr>
        <w:t xml:space="preserve">8. </w:t>
      </w:r>
      <w:r>
        <w:rPr>
          <w:rFonts w:ascii="Arial" w:cs="Arial" w:eastAsia="Arial" w:hAnsi="Arial"/>
          <w:sz w:val="20"/>
          <w:szCs w:val="20"/>
        </w:rPr>
        <w:t xml:space="preserve">Congressional Research Service, IF12798, updated 2025. Primary source (CRS).</w:t>
      </w:r>
    </w:p>
    <w:p>
      <w:pPr>
        <w:spacing w:after="80" w:before="0" w:line="276"/>
      </w:pPr>
      <w:r>
        <w:rPr>
          <w:rFonts w:ascii="Arial" w:cs="Arial" w:eastAsia="Arial" w:hAnsi="Arial"/>
          <w:b/>
          <w:bCs/>
          <w:sz w:val="20"/>
          <w:szCs w:val="20"/>
        </w:rPr>
        <w:t xml:space="preserve">9. </w:t>
      </w:r>
      <w:r>
        <w:rPr>
          <w:rFonts w:ascii="Arial" w:cs="Arial" w:eastAsia="Arial" w:hAnsi="Arial"/>
          <w:sz w:val="20"/>
          <w:szCs w:val="20"/>
        </w:rPr>
        <w:t xml:space="preserve">U.S. Department of the Treasury, OFAC sanctions designation, Integrity Technology Group, January 3, 2025. Primary source.</w:t>
      </w:r>
    </w:p>
    <w:p>
      <w:pPr>
        <w:spacing w:after="80" w:before="0" w:line="276"/>
      </w:pPr>
      <w:r>
        <w:rPr>
          <w:rFonts w:ascii="Arial" w:cs="Arial" w:eastAsia="Arial" w:hAnsi="Arial"/>
          <w:b/>
          <w:bCs/>
          <w:sz w:val="20"/>
          <w:szCs w:val="20"/>
        </w:rPr>
        <w:t xml:space="preserve">10. </w:t>
      </w:r>
      <w:r>
        <w:rPr>
          <w:rFonts w:ascii="Arial" w:cs="Arial" w:eastAsia="Arial" w:hAnsi="Arial"/>
          <w:sz w:val="20"/>
          <w:szCs w:val="20"/>
        </w:rPr>
        <w:t xml:space="preserve">Treasury Department incident reporting, December 2024; Microsoft threat intelligence, May 2025. Primary government disclosure supplemented by vendor threat intelligence.</w:t>
      </w:r>
    </w:p>
    <w:p>
      <w:pPr>
        <w:spacing w:after="80" w:before="0" w:line="276"/>
      </w:pPr>
      <w:r>
        <w:rPr>
          <w:rFonts w:ascii="Arial" w:cs="Arial" w:eastAsia="Arial" w:hAnsi="Arial"/>
          <w:b/>
          <w:bCs/>
          <w:sz w:val="20"/>
          <w:szCs w:val="20"/>
        </w:rPr>
        <w:t xml:space="preserve">11. </w:t>
      </w:r>
      <w:r>
        <w:rPr>
          <w:rFonts w:ascii="Arial" w:cs="Arial" w:eastAsia="Arial" w:hAnsi="Arial"/>
          <w:sz w:val="20"/>
          <w:szCs w:val="20"/>
        </w:rPr>
        <w:t xml:space="preserve">FBI PSA I-082025-PSA, August 2025. Primary source.</w:t>
      </w:r>
    </w:p>
    <w:p>
      <w:pPr>
        <w:spacing w:after="80" w:before="0" w:line="276"/>
      </w:pPr>
      <w:r>
        <w:rPr>
          <w:rFonts w:ascii="Arial" w:cs="Arial" w:eastAsia="Arial" w:hAnsi="Arial"/>
          <w:b/>
          <w:bCs/>
          <w:sz w:val="20"/>
          <w:szCs w:val="20"/>
        </w:rPr>
        <w:t xml:space="preserve">12. </w:t>
      </w:r>
      <w:r>
        <w:rPr>
          <w:rFonts w:ascii="Arial" w:cs="Arial" w:eastAsia="Arial" w:hAnsi="Arial"/>
          <w:sz w:val="20"/>
          <w:szCs w:val="20"/>
        </w:rPr>
        <w:t xml:space="preserve">CISA/NSA/FBI Joint Advisory AA24-249A, September 2024. Primary source.</w:t>
      </w:r>
    </w:p>
    <w:p>
      <w:pPr>
        <w:spacing w:after="80" w:before="0" w:line="276"/>
      </w:pPr>
      <w:r>
        <w:rPr>
          <w:rFonts w:ascii="Arial" w:cs="Arial" w:eastAsia="Arial" w:hAnsi="Arial"/>
          <w:b/>
          <w:bCs/>
          <w:sz w:val="20"/>
          <w:szCs w:val="20"/>
        </w:rPr>
        <w:t xml:space="preserve">13. </w:t>
      </w:r>
      <w:r>
        <w:rPr>
          <w:rFonts w:ascii="Arial" w:cs="Arial" w:eastAsia="Arial" w:hAnsi="Arial"/>
          <w:sz w:val="20"/>
          <w:szCs w:val="20"/>
        </w:rPr>
        <w:t xml:space="preserve">CISA Joint Advisory AA25-343A, December 2025. Primary source.</w:t>
      </w:r>
    </w:p>
    <w:p>
      <w:pPr>
        <w:spacing w:after="80" w:before="0" w:line="276"/>
      </w:pPr>
      <w:r>
        <w:rPr>
          <w:rFonts w:ascii="Arial" w:cs="Arial" w:eastAsia="Arial" w:hAnsi="Arial"/>
          <w:b/>
          <w:bCs/>
          <w:sz w:val="20"/>
          <w:szCs w:val="20"/>
        </w:rPr>
        <w:t xml:space="preserve">14. </w:t>
      </w:r>
      <w:r>
        <w:rPr>
          <w:rFonts w:ascii="Arial" w:cs="Arial" w:eastAsia="Arial" w:hAnsi="Arial"/>
          <w:sz w:val="20"/>
          <w:szCs w:val="20"/>
        </w:rPr>
        <w:t xml:space="preserve">CISA Joint Advisory AA23-335A, December 2023 (updated December 2024). Primary source.</w:t>
      </w:r>
    </w:p>
    <w:p>
      <w:pPr>
        <w:spacing w:after="80" w:before="0" w:line="276"/>
      </w:pPr>
      <w:r>
        <w:rPr>
          <w:rFonts w:ascii="Arial" w:cs="Arial" w:eastAsia="Arial" w:hAnsi="Arial"/>
          <w:b/>
          <w:bCs/>
          <w:sz w:val="20"/>
          <w:szCs w:val="20"/>
        </w:rPr>
        <w:t xml:space="preserve">15. </w:t>
      </w:r>
      <w:r>
        <w:rPr>
          <w:rFonts w:ascii="Arial" w:cs="Arial" w:eastAsia="Arial" w:hAnsi="Arial"/>
          <w:sz w:val="20"/>
          <w:szCs w:val="20"/>
        </w:rPr>
        <w:t xml:space="preserve">FBI PSA PSA250226, February 26, 2025; Elliptic blockchain analytics, February 2025. Primary source (FBI) supplemented by blockchain analytics.</w:t>
      </w:r>
    </w:p>
    <w:p>
      <w:pPr>
        <w:spacing w:after="80" w:before="0" w:line="276"/>
      </w:pPr>
      <w:r>
        <w:rPr>
          <w:rFonts w:ascii="Arial" w:cs="Arial" w:eastAsia="Arial" w:hAnsi="Arial"/>
          <w:b/>
          <w:bCs/>
          <w:sz w:val="20"/>
          <w:szCs w:val="20"/>
        </w:rPr>
        <w:t xml:space="preserve">16. </w:t>
      </w:r>
      <w:r>
        <w:rPr>
          <w:rFonts w:ascii="Arial" w:cs="Arial" w:eastAsia="Arial" w:hAnsi="Arial"/>
          <w:sz w:val="20"/>
          <w:szCs w:val="20"/>
        </w:rPr>
        <w:t xml:space="preserve">FBI IC3 PSA PSA250123, January 2025. Primary source.</w:t>
      </w:r>
    </w:p>
    <w:p>
      <w:pPr>
        <w:spacing w:after="80" w:before="0" w:line="276"/>
      </w:pPr>
      <w:r>
        <w:rPr>
          <w:rFonts w:ascii="Arial" w:cs="Arial" w:eastAsia="Arial" w:hAnsi="Arial"/>
          <w:b/>
          <w:bCs/>
          <w:sz w:val="20"/>
          <w:szCs w:val="20"/>
        </w:rPr>
        <w:t xml:space="preserve">17. </w:t>
      </w:r>
      <w:r>
        <w:rPr>
          <w:rFonts w:ascii="Arial" w:cs="Arial" w:eastAsia="Arial" w:hAnsi="Arial"/>
          <w:sz w:val="20"/>
          <w:szCs w:val="20"/>
        </w:rPr>
        <w:t xml:space="preserve">CSIS, Beijing’s Air, Space, and Maritime Surveillance from Cuba, 2025; Stars and Stripes, August 2025. Institutional research supplemented by defense press.</w:t>
      </w:r>
    </w:p>
    <w:p>
      <w:pPr>
        <w:spacing w:after="80" w:before="0" w:line="276"/>
      </w:pPr>
      <w:r>
        <w:rPr>
          <w:rFonts w:ascii="Arial" w:cs="Arial" w:eastAsia="Arial" w:hAnsi="Arial"/>
          <w:b/>
          <w:bCs/>
          <w:sz w:val="20"/>
          <w:szCs w:val="20"/>
        </w:rPr>
        <w:t xml:space="preserve">18. </w:t>
      </w:r>
      <w:r>
        <w:rPr>
          <w:rFonts w:ascii="Arial" w:cs="Arial" w:eastAsia="Arial" w:hAnsi="Arial"/>
          <w:sz w:val="20"/>
          <w:szCs w:val="20"/>
        </w:rPr>
        <w:t xml:space="preserve">House Appropriations Committee, DHS FY2026 budget markup; DHS budget justifications. Supplemental: Cybersecurity Dive, CyberScoop, 2025–2026. Note: workforce figures are estimates; exact internal headcounts are not publicly released.</w:t>
      </w:r>
    </w:p>
    <w:p>
      <w:pPr>
        <w:spacing w:after="80" w:before="0" w:line="276"/>
      </w:pPr>
      <w:r>
        <w:rPr>
          <w:rFonts w:ascii="Arial" w:cs="Arial" w:eastAsia="Arial" w:hAnsi="Arial"/>
          <w:b/>
          <w:bCs/>
          <w:sz w:val="20"/>
          <w:szCs w:val="20"/>
        </w:rPr>
        <w:t xml:space="preserve">19. </w:t>
      </w:r>
      <w:r>
        <w:rPr>
          <w:rFonts w:ascii="Arial" w:cs="Arial" w:eastAsia="Arial" w:hAnsi="Arial"/>
          <w:sz w:val="20"/>
          <w:szCs w:val="20"/>
        </w:rPr>
        <w:t xml:space="preserve">House Appropriations Subcommittee on Homeland Security, FY2026 DHS budget. Primary source.</w:t>
      </w:r>
    </w:p>
    <w:p>
      <w:pPr>
        <w:spacing w:after="80" w:before="0" w:line="276"/>
      </w:pPr>
      <w:r>
        <w:rPr>
          <w:rFonts w:ascii="Arial" w:cs="Arial" w:eastAsia="Arial" w:hAnsi="Arial"/>
          <w:b/>
          <w:bCs/>
          <w:sz w:val="20"/>
          <w:szCs w:val="20"/>
        </w:rPr>
        <w:t xml:space="preserve">20. </w:t>
      </w:r>
      <w:r>
        <w:rPr>
          <w:rFonts w:ascii="Arial" w:cs="Arial" w:eastAsia="Arial" w:hAnsi="Arial"/>
          <w:sz w:val="20"/>
          <w:szCs w:val="20"/>
        </w:rPr>
        <w:t xml:space="preserve">FY2027 presidential budget proposal, White House OMB. Primary source.</w:t>
      </w:r>
    </w:p>
    <w:p>
      <w:pPr>
        <w:spacing w:after="80" w:before="0" w:line="276"/>
      </w:pPr>
      <w:r>
        <w:rPr>
          <w:rFonts w:ascii="Arial" w:cs="Arial" w:eastAsia="Arial" w:hAnsi="Arial"/>
          <w:b/>
          <w:bCs/>
          <w:sz w:val="20"/>
          <w:szCs w:val="20"/>
        </w:rPr>
        <w:t xml:space="preserve">21. </w:t>
      </w:r>
      <w:r>
        <w:rPr>
          <w:rFonts w:ascii="Arial" w:cs="Arial" w:eastAsia="Arial" w:hAnsi="Arial"/>
          <w:sz w:val="20"/>
          <w:szCs w:val="20"/>
        </w:rPr>
        <w:t xml:space="preserve">FY2026 CISA budget justification documents. Primary source.</w:t>
      </w:r>
    </w:p>
    <w:p>
      <w:pPr>
        <w:spacing w:after="80" w:before="0" w:line="276"/>
      </w:pPr>
      <w:r>
        <w:rPr>
          <w:rFonts w:ascii="Arial" w:cs="Arial" w:eastAsia="Arial" w:hAnsi="Arial"/>
          <w:b/>
          <w:bCs/>
          <w:sz w:val="20"/>
          <w:szCs w:val="20"/>
        </w:rPr>
        <w:t xml:space="preserve">22. </w:t>
      </w:r>
      <w:r>
        <w:rPr>
          <w:rFonts w:ascii="Arial" w:cs="Arial" w:eastAsia="Arial" w:hAnsi="Arial"/>
          <w:sz w:val="20"/>
          <w:szCs w:val="20"/>
        </w:rPr>
        <w:t xml:space="preserve">TechCrunch, February 2026; Federal News Network, February 2026; HSToday, 2026. Note: leadership status from press sources and DHS-linked congressional notifications; exact transitions not formally announced by the agency.</w:t>
      </w:r>
    </w:p>
    <w:p>
      <w:pPr>
        <w:spacing w:after="80" w:before="0" w:line="276"/>
      </w:pPr>
      <w:r>
        <w:rPr>
          <w:rFonts w:ascii="Arial" w:cs="Arial" w:eastAsia="Arial" w:hAnsi="Arial"/>
          <w:b/>
          <w:bCs/>
          <w:sz w:val="20"/>
          <w:szCs w:val="20"/>
        </w:rPr>
        <w:t xml:space="preserve">23. </w:t>
      </w:r>
      <w:r>
        <w:rPr>
          <w:rFonts w:ascii="Arial" w:cs="Arial" w:eastAsia="Arial" w:hAnsi="Arial"/>
          <w:sz w:val="20"/>
          <w:szCs w:val="20"/>
        </w:rPr>
        <w:t xml:space="preserve">CyberScoop, 2025 (includes NIST official statements); Cybersecurity Dive, 2025. Note: estimates from press reporting on congressional testimony and House Science Committee oversight materials.</w:t>
      </w:r>
    </w:p>
    <w:p>
      <w:pPr>
        <w:spacing w:after="80" w:before="0" w:line="276"/>
      </w:pPr>
      <w:r>
        <w:rPr>
          <w:rFonts w:ascii="Arial" w:cs="Arial" w:eastAsia="Arial" w:hAnsi="Arial"/>
          <w:b/>
          <w:bCs/>
          <w:sz w:val="20"/>
          <w:szCs w:val="20"/>
        </w:rPr>
        <w:t xml:space="preserve">24. </w:t>
      </w:r>
      <w:r>
        <w:rPr>
          <w:rFonts w:ascii="Arial" w:cs="Arial" w:eastAsia="Arial" w:hAnsi="Arial"/>
          <w:sz w:val="20"/>
          <w:szCs w:val="20"/>
        </w:rPr>
        <w:t xml:space="preserve">NIST NVD operational status pages, accessed 2026; Infosecurity Magazine, 2025; Cybersecurity Dive, 2024. Backlog figures from NIST-linked public statements.</w:t>
      </w:r>
    </w:p>
    <w:p>
      <w:pPr>
        <w:spacing w:after="80" w:before="0" w:line="276"/>
      </w:pPr>
      <w:r>
        <w:rPr>
          <w:rFonts w:ascii="Arial" w:cs="Arial" w:eastAsia="Arial" w:hAnsi="Arial"/>
          <w:b/>
          <w:bCs/>
          <w:sz w:val="20"/>
          <w:szCs w:val="20"/>
        </w:rPr>
        <w:t xml:space="preserve">25. </w:t>
      </w:r>
      <w:r>
        <w:rPr>
          <w:rFonts w:ascii="Arial" w:cs="Arial" w:eastAsia="Arial" w:hAnsi="Arial"/>
          <w:sz w:val="20"/>
          <w:szCs w:val="20"/>
        </w:rPr>
        <w:t xml:space="preserve">NIST, Cybersecurity Framework 2.0, February 26, 2024. Primary source.</w:t>
      </w:r>
    </w:p>
    <w:p>
      <w:pPr>
        <w:spacing w:after="80" w:before="0" w:line="276"/>
      </w:pPr>
      <w:r>
        <w:rPr>
          <w:rFonts w:ascii="Arial" w:cs="Arial" w:eastAsia="Arial" w:hAnsi="Arial"/>
          <w:b/>
          <w:bCs/>
          <w:sz w:val="20"/>
          <w:szCs w:val="20"/>
        </w:rPr>
        <w:t xml:space="preserve">26. </w:t>
      </w:r>
      <w:r>
        <w:rPr>
          <w:rFonts w:ascii="Arial" w:cs="Arial" w:eastAsia="Arial" w:hAnsi="Arial"/>
          <w:sz w:val="20"/>
          <w:szCs w:val="20"/>
        </w:rPr>
        <w:t xml:space="preserve">CISA, Cross-Sector Cybersecurity Performance Goals v2.0, December 2025. Primary source.</w:t>
      </w:r>
    </w:p>
    <w:p>
      <w:pPr>
        <w:spacing w:after="80" w:before="0" w:line="276"/>
      </w:pPr>
      <w:r>
        <w:rPr>
          <w:rFonts w:ascii="Arial" w:cs="Arial" w:eastAsia="Arial" w:hAnsi="Arial"/>
          <w:b/>
          <w:bCs/>
          <w:sz w:val="20"/>
          <w:szCs w:val="20"/>
        </w:rPr>
        <w:t xml:space="preserve">27. </w:t>
      </w:r>
      <w:r>
        <w:rPr>
          <w:rFonts w:ascii="Arial" w:cs="Arial" w:eastAsia="Arial" w:hAnsi="Arial"/>
          <w:sz w:val="20"/>
          <w:szCs w:val="20"/>
        </w:rPr>
        <w:t xml:space="preserve">32 CFR Part 170 (October 15, 2024); 48 CFR Parts 204 and 252 (November 10, 2025). Primary source (Federal Register).</w:t>
      </w:r>
    </w:p>
    <w:p>
      <w:pPr>
        <w:spacing w:after="80" w:before="0" w:line="276"/>
      </w:pPr>
      <w:r>
        <w:rPr>
          <w:rFonts w:ascii="Arial" w:cs="Arial" w:eastAsia="Arial" w:hAnsi="Arial"/>
          <w:b/>
          <w:bCs/>
          <w:sz w:val="20"/>
          <w:szCs w:val="20"/>
        </w:rPr>
        <w:t xml:space="preserve">28. </w:t>
      </w:r>
      <w:r>
        <w:rPr>
          <w:rFonts w:ascii="Arial" w:cs="Arial" w:eastAsia="Arial" w:hAnsi="Arial"/>
          <w:sz w:val="20"/>
          <w:szCs w:val="20"/>
        </w:rPr>
        <w:t xml:space="preserve">NERC CIP Standards CIP-002 through CIP-015; FERC Order No. 907 (CIP-015-1), June 2025. Primary source.</w:t>
      </w:r>
    </w:p>
    <w:p>
      <w:pPr>
        <w:spacing w:after="80" w:before="0" w:line="276"/>
      </w:pPr>
      <w:r>
        <w:rPr>
          <w:rFonts w:ascii="Arial" w:cs="Arial" w:eastAsia="Arial" w:hAnsi="Arial"/>
          <w:b/>
          <w:bCs/>
          <w:sz w:val="20"/>
          <w:szCs w:val="20"/>
        </w:rPr>
        <w:t xml:space="preserve">29. </w:t>
      </w:r>
      <w:r>
        <w:rPr>
          <w:rFonts w:ascii="Arial" w:cs="Arial" w:eastAsia="Arial" w:hAnsi="Arial"/>
          <w:sz w:val="20"/>
          <w:szCs w:val="20"/>
        </w:rPr>
        <w:t xml:space="preserve">Congressional Research Service, IF13042, updated 2025. Primary source (CRS).</w:t>
      </w:r>
    </w:p>
    <w:p>
      <w:pPr>
        <w:spacing w:after="80" w:before="0" w:line="276"/>
      </w:pPr>
      <w:r>
        <w:rPr>
          <w:rFonts w:ascii="Arial" w:cs="Arial" w:eastAsia="Arial" w:hAnsi="Arial"/>
          <w:b/>
          <w:bCs/>
          <w:sz w:val="20"/>
          <w:szCs w:val="20"/>
        </w:rPr>
        <w:t xml:space="preserve">30. </w:t>
      </w:r>
      <w:r>
        <w:rPr>
          <w:rFonts w:ascii="Arial" w:cs="Arial" w:eastAsia="Arial" w:hAnsi="Arial"/>
          <w:sz w:val="20"/>
          <w:szCs w:val="20"/>
        </w:rPr>
        <w:t xml:space="preserve">CYBERCOM posture testimony; CRS IF13042; C4ISRNet, April 2024; MeriTalk, 2024. Congressional testimony supplemented by defense press.</w:t>
      </w:r>
    </w:p>
    <w:p>
      <w:pPr>
        <w:spacing w:after="80" w:before="0" w:line="276"/>
      </w:pPr>
      <w:r>
        <w:rPr>
          <w:rFonts w:ascii="Arial" w:cs="Arial" w:eastAsia="Arial" w:hAnsi="Arial"/>
          <w:b/>
          <w:bCs/>
          <w:sz w:val="20"/>
          <w:szCs w:val="20"/>
        </w:rPr>
        <w:t xml:space="preserve">31. </w:t>
      </w:r>
      <w:r>
        <w:rPr>
          <w:rFonts w:ascii="Arial" w:cs="Arial" w:eastAsia="Arial" w:hAnsi="Arial"/>
          <w:sz w:val="20"/>
          <w:szCs w:val="20"/>
        </w:rPr>
        <w:t xml:space="preserve">CISA, CIRCIA rulemaking updates, accessed 2026; 6 U.S.C. §681b. Primary source. Davis Wright Tremaine, September 2025, as supplemental legal commentary.</w:t>
      </w:r>
    </w:p>
    <w:p>
      <w:pPr>
        <w:spacing w:after="80" w:before="0" w:line="276"/>
      </w:pPr>
      <w:r>
        <w:rPr>
          <w:rFonts w:ascii="Arial" w:cs="Arial" w:eastAsia="Arial" w:hAnsi="Arial"/>
          <w:b/>
          <w:bCs/>
          <w:sz w:val="20"/>
          <w:szCs w:val="20"/>
        </w:rPr>
        <w:t xml:space="preserve">32. </w:t>
      </w:r>
      <w:r>
        <w:rPr>
          <w:rFonts w:ascii="Arial" w:cs="Arial" w:eastAsia="Arial" w:hAnsi="Arial"/>
          <w:sz w:val="20"/>
          <w:szCs w:val="20"/>
        </w:rPr>
        <w:t xml:space="preserve">DoD CMMC implementation status; CMMC Accreditation Body; industry analysis, late 2025. Note: certification counts from industry tracking; text reflects this uncertainty.</w:t>
      </w:r>
    </w:p>
    <w:p>
      <w:pPr>
        <w:spacing w:after="80" w:before="0" w:line="276"/>
      </w:pPr>
      <w:r>
        <w:rPr>
          <w:rFonts w:ascii="Arial" w:cs="Arial" w:eastAsia="Arial" w:hAnsi="Arial"/>
          <w:b/>
          <w:bCs/>
          <w:sz w:val="20"/>
          <w:szCs w:val="20"/>
        </w:rPr>
        <w:t xml:space="preserve">33. </w:t>
      </w:r>
      <w:r>
        <w:rPr>
          <w:rFonts w:ascii="Arial" w:cs="Arial" w:eastAsia="Arial" w:hAnsi="Arial"/>
          <w:sz w:val="20"/>
          <w:szCs w:val="20"/>
        </w:rPr>
        <w:t xml:space="preserve">GAO-25-107743, High-Risk Series, 2025; GAO-24-107231, 2024. Primary source.</w:t>
      </w:r>
    </w:p>
    <w:p>
      <w:pPr>
        <w:spacing w:after="80" w:before="0" w:line="276"/>
      </w:pPr>
      <w:r>
        <w:rPr>
          <w:rFonts w:ascii="Arial" w:cs="Arial" w:eastAsia="Arial" w:hAnsi="Arial"/>
          <w:b/>
          <w:bCs/>
          <w:sz w:val="20"/>
          <w:szCs w:val="20"/>
        </w:rPr>
        <w:t xml:space="preserve">34. </w:t>
      </w:r>
      <w:r>
        <w:rPr>
          <w:rFonts w:ascii="Arial" w:cs="Arial" w:eastAsia="Arial" w:hAnsi="Arial"/>
          <w:sz w:val="20"/>
          <w:szCs w:val="20"/>
        </w:rPr>
        <w:t xml:space="preserve">White House, President Trump’s Cyber Strategy for America, March 6, 2026. Primary source.</w:t>
      </w:r>
    </w:p>
    <w:p>
      <w:pPr>
        <w:spacing w:after="80" w:before="0" w:line="276"/>
      </w:pPr>
      <w:r>
        <w:rPr>
          <w:rFonts w:ascii="Arial" w:cs="Arial" w:eastAsia="Arial" w:hAnsi="Arial"/>
          <w:b/>
          <w:bCs/>
          <w:sz w:val="20"/>
          <w:szCs w:val="20"/>
        </w:rPr>
        <w:t>35. White House strategy text (primary); FDD analysis, March 27, 2026; CRS IN12667. The observation that the strategy does not identify named threat actors is the author’s own reading of the primary text.</w:t>
      </w:r>
      <w:r>
        <w:rPr>
          <w:rFonts w:ascii="Arial" w:cs="Arial" w:eastAsia="Arial" w:hAnsi="Arial"/>
          <w:sz w:val="20"/>
          <w:szCs w:val="20"/>
        </w:rPr>
      </w:r>
    </w:p>
    <w:p>
      <w:pPr>
        <w:spacing w:after="80" w:before="0" w:line="276"/>
      </w:pPr>
      <w:r>
        <w:rPr>
          <w:rFonts w:ascii="Arial" w:cs="Arial" w:eastAsia="Arial" w:hAnsi="Arial"/>
          <w:b/>
          <w:bCs/>
          <w:sz w:val="20"/>
          <w:szCs w:val="20"/>
        </w:rPr>
        <w:t xml:space="preserve">36. </w:t>
      </w:r>
      <w:r>
        <w:rPr>
          <w:rFonts w:ascii="Arial" w:cs="Arial" w:eastAsia="Arial" w:hAnsi="Arial"/>
          <w:sz w:val="20"/>
          <w:szCs w:val="20"/>
        </w:rPr>
        <w:t xml:space="preserve">8th Circuit stay, July 2023; EPA withdrawal, October 2023. Primary source (court order and agency action).</w:t>
      </w:r>
    </w:p>
    <w:p>
      <w:pPr>
        <w:spacing w:after="80" w:before="0" w:line="276"/>
      </w:pPr>
      <w:r>
        <w:rPr>
          <w:rFonts w:ascii="Arial" w:cs="Arial" w:eastAsia="Arial" w:hAnsi="Arial"/>
          <w:b/>
          <w:bCs/>
          <w:sz w:val="20"/>
          <w:szCs w:val="20"/>
        </w:rPr>
        <w:t xml:space="preserve">37. </w:t>
      </w:r>
      <w:r>
        <w:rPr>
          <w:rFonts w:ascii="Arial" w:cs="Arial" w:eastAsia="Arial" w:hAnsi="Arial"/>
          <w:sz w:val="20"/>
          <w:szCs w:val="20"/>
        </w:rPr>
        <w:t xml:space="preserve">FCC Orders FCC 25-9 (January 2025) and FCC 25-81 (November 2025); Senate Commerce Committee, November 2025. Primary source.</w:t>
      </w:r>
    </w:p>
    <w:p>
      <w:pPr>
        <w:spacing w:after="80" w:before="0" w:line="276"/>
      </w:pPr>
      <w:r>
        <w:rPr>
          <w:rFonts w:ascii="Arial" w:cs="Arial" w:eastAsia="Arial" w:hAnsi="Arial"/>
          <w:b/>
          <w:bCs/>
          <w:sz w:val="20"/>
          <w:szCs w:val="20"/>
        </w:rPr>
        <w:t xml:space="preserve">38. </w:t>
      </w:r>
      <w:r>
        <w:rPr>
          <w:rFonts w:ascii="Arial" w:cs="Arial" w:eastAsia="Arial" w:hAnsi="Arial"/>
          <w:sz w:val="20"/>
          <w:szCs w:val="20"/>
        </w:rPr>
        <w:t xml:space="preserve">HHS OCR breach filing, Change Healthcare; congressional testimony of CEO Andrew Witty, May 1, 2024; UnitedHealth Group SEC filings, FY2024. Primary source (OCR, congressional testimony, SEC disclosure).</w:t>
      </w:r>
    </w:p>
    <w:p>
      <w:pPr>
        <w:spacing w:after="80" w:before="0" w:line="276"/>
      </w:pPr>
      <w:r>
        <w:rPr>
          <w:rFonts w:ascii="Arial" w:cs="Arial" w:eastAsia="Arial" w:hAnsi="Arial"/>
          <w:b/>
          <w:bCs/>
          <w:sz w:val="20"/>
          <w:szCs w:val="20"/>
        </w:rPr>
        <w:t xml:space="preserve">39. </w:t>
      </w:r>
      <w:r>
        <w:rPr>
          <w:rFonts w:ascii="Arial" w:cs="Arial" w:eastAsia="Arial" w:hAnsi="Arial"/>
          <w:sz w:val="20"/>
          <w:szCs w:val="20"/>
        </w:rPr>
        <w:t xml:space="preserve">HHS OCR breach portal data, October 2025; AHA, 2025 Cybersecurity Year in Review, October 2025. Primary source (OCR) supplemented by sector reporting.</w:t>
      </w:r>
    </w:p>
    <w:p>
      <w:pPr>
        <w:spacing w:after="80" w:before="0" w:line="276"/>
      </w:pPr>
      <w:r>
        <w:rPr>
          <w:rFonts w:ascii="Arial" w:cs="Arial" w:eastAsia="Arial" w:hAnsi="Arial"/>
          <w:b/>
          <w:bCs/>
          <w:sz w:val="20"/>
          <w:szCs w:val="20"/>
        </w:rPr>
        <w:t xml:space="preserve">40. </w:t>
      </w:r>
      <w:r>
        <w:rPr>
          <w:rFonts w:ascii="Arial" w:cs="Arial" w:eastAsia="Arial" w:hAnsi="Arial"/>
          <w:sz w:val="20"/>
          <w:szCs w:val="20"/>
        </w:rPr>
        <w:t xml:space="preserve">JAMA Health Forum, peer-reviewed research on ransomware-associated hospital mortality. Peer-reviewed source.</w:t>
      </w:r>
    </w:p>
    <w:p>
      <w:pPr>
        <w:spacing w:after="80" w:before="0" w:line="276"/>
      </w:pPr>
      <w:r>
        <w:rPr>
          <w:rFonts w:ascii="Arial" w:cs="Arial" w:eastAsia="Arial" w:hAnsi="Arial"/>
          <w:b/>
          <w:bCs/>
          <w:sz w:val="20"/>
          <w:szCs w:val="20"/>
        </w:rPr>
        <w:t xml:space="preserve">41. </w:t>
      </w:r>
      <w:r>
        <w:rPr>
          <w:rFonts w:ascii="Arial" w:cs="Arial" w:eastAsia="Arial" w:hAnsi="Arial"/>
          <w:sz w:val="20"/>
          <w:szCs w:val="20"/>
        </w:rPr>
        <w:t xml:space="preserve">Sophos, State of Ransomware in Healthcare 2025 (n=292). Vendor-conducted industry survey.</w:t>
      </w:r>
    </w:p>
    <w:p>
      <w:pPr>
        <w:spacing w:after="80" w:before="0" w:line="276"/>
      </w:pPr>
      <w:r>
        <w:rPr>
          <w:rFonts w:ascii="Arial" w:cs="Arial" w:eastAsia="Arial" w:hAnsi="Arial"/>
          <w:b/>
          <w:bCs/>
          <w:sz w:val="20"/>
          <w:szCs w:val="20"/>
        </w:rPr>
        <w:t xml:space="preserve">42. </w:t>
      </w:r>
      <w:r>
        <w:rPr>
          <w:rFonts w:ascii="Arial" w:cs="Arial" w:eastAsia="Arial" w:hAnsi="Arial"/>
          <w:sz w:val="20"/>
          <w:szCs w:val="20"/>
        </w:rPr>
        <w:t xml:space="preserve">HHS, HIPAA Security Rule NPRM Factsheet, December 27, 2024. Primary source.</w:t>
      </w:r>
    </w:p>
    <w:p>
      <w:pPr>
        <w:spacing w:after="80" w:before="0" w:line="276"/>
      </w:pPr>
      <w:r>
        <w:rPr>
          <w:rFonts w:ascii="Arial" w:cs="Arial" w:eastAsia="Arial" w:hAnsi="Arial"/>
          <w:b/>
          <w:bCs/>
          <w:sz w:val="20"/>
          <w:szCs w:val="20"/>
        </w:rPr>
        <w:t xml:space="preserve">43. </w:t>
      </w:r>
      <w:r>
        <w:rPr>
          <w:rFonts w:ascii="Arial" w:cs="Arial" w:eastAsia="Arial" w:hAnsi="Arial"/>
          <w:sz w:val="20"/>
          <w:szCs w:val="20"/>
        </w:rPr>
        <w:t xml:space="preserve">Public reporting and legal analysis: CyberScoop, 2024; Lawfare, 2024. Note: NSPM-13 is classified; all references rely on press accounts and legal commentary.</w:t>
      </w:r>
    </w:p>
    <w:p>
      <w:pPr>
        <w:spacing w:after="80" w:before="0" w:line="276"/>
      </w:pPr>
      <w:r>
        <w:rPr>
          <w:rFonts w:ascii="Arial" w:cs="Arial" w:eastAsia="Arial" w:hAnsi="Arial"/>
          <w:b/>
          <w:bCs/>
          <w:sz w:val="20"/>
          <w:szCs w:val="20"/>
        </w:rPr>
        <w:t xml:space="preserve">44. </w:t>
      </w:r>
      <w:r>
        <w:rPr>
          <w:rFonts w:ascii="Arial" w:cs="Arial" w:eastAsia="Arial" w:hAnsi="Arial"/>
          <w:sz w:val="20"/>
          <w:szCs w:val="20"/>
        </w:rPr>
        <w:t xml:space="preserve">Berkeley Technology Law Journal, 2019; Army War College War Room, 2024. Analytical/legal commentary sources.</w:t>
      </w:r>
    </w:p>
    <w:p>
      <w:pPr>
        <w:spacing w:after="80" w:before="0" w:line="276"/>
      </w:pPr>
      <w:r>
        <w:rPr>
          <w:rFonts w:ascii="Arial" w:cs="Arial" w:eastAsia="Arial" w:hAnsi="Arial"/>
          <w:b/>
          <w:bCs/>
          <w:sz w:val="20"/>
          <w:szCs w:val="20"/>
        </w:rPr>
        <w:t xml:space="preserve">45. </w:t>
      </w:r>
      <w:r>
        <w:rPr>
          <w:rFonts w:ascii="Arial" w:cs="Arial" w:eastAsia="Arial" w:hAnsi="Arial"/>
          <w:sz w:val="20"/>
          <w:szCs w:val="20"/>
        </w:rPr>
        <w:t xml:space="preserve">CISA, Known Exploited Vulnerabilities Catalog, accessed 2026; BOD 22-01. Primary source.</w:t>
      </w:r>
    </w:p>
    <w:p>
      <w:pPr>
        <w:spacing w:after="80" w:before="0" w:line="276"/>
      </w:pPr>
      <w:r>
        <w:rPr>
          <w:rFonts w:ascii="Arial" w:cs="Arial" w:eastAsia="Arial" w:hAnsi="Arial"/>
          <w:b/>
          <w:bCs/>
          <w:sz w:val="20"/>
          <w:szCs w:val="20"/>
        </w:rPr>
        <w:t xml:space="preserve">46. </w:t>
      </w:r>
      <w:r>
        <w:rPr>
          <w:rFonts w:ascii="Arial" w:cs="Arial" w:eastAsia="Arial" w:hAnsi="Arial"/>
          <w:sz w:val="20"/>
          <w:szCs w:val="20"/>
        </w:rPr>
        <w:t xml:space="preserve">European Parliament and Council, Directive (EU) 2022/2555 (NIS2 Directive), December 2022, transposition deadline October 17, 2024. Primary source (EU Official Journal).</w:t>
      </w:r>
    </w:p>
    <w:p>
      <w:pPr>
        <w:spacing w:after="80" w:before="0" w:line="276"/>
      </w:pPr>
      <w:r>
        <w:rPr>
          <w:rFonts w:ascii="Arial" w:cs="Arial" w:eastAsia="Arial" w:hAnsi="Arial"/>
          <w:b/>
          <w:bCs/>
          <w:sz w:val="20"/>
          <w:szCs w:val="20"/>
        </w:rPr>
        <w:t xml:space="preserve">47. </w:t>
      </w:r>
      <w:r>
        <w:rPr>
          <w:rFonts w:ascii="Arial" w:cs="Arial" w:eastAsia="Arial" w:hAnsi="Arial"/>
          <w:sz w:val="20"/>
          <w:szCs w:val="20"/>
        </w:rPr>
        <w:t xml:space="preserve">Australian Government, Security of Critical Infrastructure Act 2018 (as amended 2022). Primary source (Federal Register of Legislation, Australia).</w:t>
      </w:r>
    </w:p>
    <w:p>
      <w:pPr>
        <w:spacing w:after="80" w:before="0" w:line="276"/>
      </w:pPr>
      <w:r>
        <w:rPr>
          <w:rFonts w:ascii="Arial" w:cs="Arial" w:eastAsia="Arial" w:hAnsi="Arial"/>
          <w:b/>
          <w:bCs/>
          <w:sz w:val="20"/>
          <w:szCs w:val="20"/>
        </w:rPr>
        <w:t xml:space="preserve">48. </w:t>
      </w:r>
      <w:r>
        <w:rPr>
          <w:rFonts w:ascii="Arial" w:cs="Arial" w:eastAsia="Arial" w:hAnsi="Arial"/>
          <w:sz w:val="20"/>
          <w:szCs w:val="20"/>
        </w:rPr>
        <w:t xml:space="preserve">Benchmark derivation: CISA staffing target of 3,000 is based on pre-January 2025 reported headcount of approximately 3,400, discounted to reflect realistic near-term appropriations constraints. NIST CSD target of 80 FTEs is based on the division’s reported pre-2025 complement of approximately 95, discounted similarly. CMMC 50% target is the author’s estimate based on current certification velocity and Phase 2 enforcement timelines. Workforce gap reduction target reflects ISC2 2025 baseline data. These are proposed policy benchmarks, not predictions.</w:t>
      </w:r>
    </w:p>
    <w:sectPr>
      <w:headerReference w:type="default" r:id="rId7"/>
      <w:footerReference w:type="default" r:id="rId8"/>
      <w:head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0"/>
      <w:jc w:val="center"/>
    </w:pPr>
    <w:r>
      <w:rPr>
        <w:rFonts w:ascii="Arial" w:cs="Arial" w:eastAsia="Arial" w:hAnsi="Arial"/>
        <w:color w:val="999999"/>
        <w:sz w:val="16"/>
        <w:szCs w:val="16"/>
      </w:rPr>
      <w:t xml:space="preserve">Center for Competitive Statecraft &amp; Strategic Policy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0"/>
      <w:jc w:val="right"/>
    </w:pPr>
    <w:r>
      <w:rPr>
        <w:rFonts w:ascii="Arial" w:cs="Arial" w:eastAsia="Arial" w:hAnsi="Arial"/>
        <w:color w:val="999999"/>
        <w:sz w:val="16"/>
        <w:szCs w:val="16"/>
      </w:rPr>
      <w:t xml:space="preserve">WP-2026-CYBER-01 v4.0  |  </w:t>
    </w:r>
    <w:r>
      <w:rPr>
        <w:rFonts w:ascii="Arial" w:cs="Arial" w:eastAsia="Arial" w:hAnsi="Arial"/>
        <w:b/>
        <w:bCs/>
        <w:color w:val="8B6914"/>
        <w:sz w:val="16"/>
        <w:szCs w:val="16"/>
      </w:rPr>
      <w:t xml:space="preserve">UNCLASSIFIED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1B2A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2026-04-06T11:07:48.282Z</dcterms:created>
  <dcterms:modified xsi:type="dcterms:W3CDTF">2026-04-06T11:07:48.283Z</dcterms:modified>
</cp:coreProperties>
</file>

<file path=docProps/custom.xml><?xml version="1.0" encoding="utf-8"?>
<Properties xmlns="http://schemas.openxmlformats.org/officeDocument/2006/custom-properties" xmlns:vt="http://schemas.openxmlformats.org/officeDocument/2006/docPropsVTypes"/>
</file>