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before="0" w:line="276"/>
      </w:pPr>
      <w:r>
        <w:rPr>
          <w:rFonts w:ascii="Arial" w:cs="Arial" w:eastAsia="Arial" w:hAnsi="Arial"/>
          <w:b/>
          <w:bCs/>
          <w:color w:val="8B6914"/>
          <w:sz w:val="20"/>
          <w:szCs w:val="20"/>
        </w:rPr>
        <w:t>WP-2026-NUC-01  |  v4.0 FINAL</w:t>
      </w:r>
    </w:p>
    <w:p>
      <w:pPr>
        <w:pBdr>
          <w:bottom w:val="single" w:color="1B2A4A" w:sz="6" w:space="8"/>
        </w:pBdr>
        <w:spacing w:after="80"/>
      </w:pPr>
      <w:r>
        <w:rPr>
          <w:rFonts w:ascii="Arial" w:cs="Arial" w:eastAsia="Arial" w:hAnsi="Arial"/>
          <w:b/>
          <w:bCs/>
          <w:color w:val="1B2A4A"/>
          <w:sz w:val="40"/>
          <w:szCs w:val="40"/>
        </w:rPr>
        <w:t xml:space="preserve">A U.S. Policy Framework for Nuclear Capacity Expansion and Grid Modernization</w:t>
      </w:r>
    </w:p>
    <w:p>
      <w:pPr>
        <w:spacing w:after="400" w:before="0" w:line="276"/>
      </w:pPr>
      <w:r>
        <w:rPr>
          <w:rFonts w:ascii="Arial" w:cs="Arial" w:eastAsia="Arial" w:hAnsi="Arial"/>
          <w:color w:val="1B2A4A"/>
          <w:sz w:val="26"/>
          <w:szCs w:val="26"/>
        </w:rPr>
        <w:t xml:space="preserve">Near-Term Reliability, Industrial, and Grid Security Strategy</w:t>
      </w:r>
    </w:p>
    <w:p>
      <w:pPr>
        <w:spacing w:after="100" w:before="0" w:line="276"/>
      </w:pPr>
      <w:r>
        <w:rPr>
          <w:rFonts w:ascii="Arial" w:cs="Arial" w:eastAsia="Arial" w:hAnsi="Arial"/>
          <w:b/>
          <w:bCs/>
          <w:color w:val="1B2A4A"/>
          <w:sz w:val="22"/>
          <w:szCs w:val="22"/>
        </w:rPr>
        <w:t xml:space="preserve">Collin George</w:t>
      </w:r>
    </w:p>
    <w:p>
      <w:pPr>
        <w:spacing w:after="100" w:before="0" w:line="276"/>
      </w:pPr>
      <w:r>
        <w:rPr>
          <w:rFonts w:ascii="Arial" w:cs="Arial" w:eastAsia="Arial" w:hAnsi="Arial"/>
          <w:color w:val="666666"/>
          <w:sz w:val="20"/>
          <w:szCs w:val="20"/>
        </w:rPr>
        <w:t>Center for Competitive Statecraft &amp; Strategic Policy  |  collinbgeorge.com</w:t>
      </w:r>
    </w:p>
    <w:p>
      <w:pPr>
        <w:spacing w:after="600" w:before="0" w:line="276"/>
      </w:pPr>
      <w:r>
        <w:rPr>
          <w:rFonts w:ascii="Arial" w:cs="Arial" w:eastAsia="Arial" w:hAnsi="Arial"/>
          <w:color w:val="666666"/>
          <w:sz w:val="20"/>
          <w:szCs w:val="20"/>
        </w:rPr>
        <w:t xml:space="preserve">April 2026</w:t>
      </w:r>
    </w:p>
    <w:p>
      <w:pPr>
        <w:spacing w:after="200" w:before="0" w:line="276"/>
      </w:pPr>
      <w:r>
        <w:rPr>
          <w:rFonts w:ascii="Arial" w:cs="Arial" w:eastAsia="Arial" w:hAnsi="Arial"/>
          <w:b/>
          <w:bCs/>
          <w:color w:val="8B6914"/>
          <w:sz w:val="18"/>
          <w:szCs w:val="18"/>
        </w:rPr>
        <w:t xml:space="preserve">UNCLASSIFIED  |  FOR PUBLIC DISTRIBUTION</w:t>
      </w:r>
    </w:p>
    <w:p>
      <w:r>
        <w:br w:type="page"/>
      </w:r>
    </w:p>
    <w:p>
      <w:pPr>
        <w:pStyle w:val="Heading1"/>
        <w:spacing w:after="240" w:before="360"/>
      </w:pPr>
      <w:r>
        <w:rPr>
          <w:rFonts w:ascii="Arial" w:cs="Arial" w:eastAsia="Arial" w:hAnsi="Arial"/>
          <w:b/>
          <w:bCs/>
          <w:color w:val="1B2A4A"/>
          <w:sz w:val="32"/>
          <w:szCs w:val="32"/>
        </w:rPr>
        <w:t xml:space="preserve">Note on Data</w:t>
      </w:r>
    </w:p>
    <w:p>
      <w:pPr>
        <w:spacing w:after="200" w:before="0" w:line="276"/>
      </w:pPr>
      <w:r>
        <w:rPr>
          <w:rFonts w:ascii="Arial" w:cs="Arial" w:eastAsia="Arial" w:hAnsi="Arial"/>
          <w:sz w:val="22"/>
          <w:szCs w:val="22"/>
        </w:rPr>
        <w:t xml:space="preserve">As of early 2026, the U.S. operates approximately 93 commercial nuclear reactors totaling roughly 97 GW of net summer capacity (counts vary slightly by reporting window and outage status).</w:t>
      </w:r>
      <w:r>
        <w:rPr>
          <w:rFonts w:ascii="Arial" w:cs="Arial" w:eastAsia="Arial" w:hAnsi="Arial"/>
          <w:color w:val="1B2A4A"/>
          <w:sz w:val="16"/>
          <w:szCs w:val="16"/>
          <w:vertAlign w:val="superscript"/>
        </w:rPr>
        <w:t xml:space="preserve">1</w:t>
      </w:r>
    </w:p>
    <w:p>
      <w:r>
        <w:br w:type="page"/>
      </w:r>
    </w:p>
    <w:p>
      <w:pPr>
        <w:spacing w:after="200"/>
      </w:pPr>
      <w:r>
        <w:rPr>
          <w:rFonts w:ascii="Arial" w:hAnsi="Arial"/>
          <w:sz w:val="26"/>
          <w:color w:val="1B2A4A"/>
          <w:b/>
        </w:rPr>
        <w:t xml:space="preserve">ABSTRACT</w:t>
      </w:r>
    </w:p>
    <w:p>
      <w:pPr>
        <w:spacing w:after="300" w:line="276"/>
      </w:pPr>
      <w:r>
        <w:rPr>
          <w:rFonts w:ascii="Arial" w:hAnsi="Arial"/>
          <w:sz w:val="22"/>
          <w:color w:val="1B2A4A"/>
        </w:rPr>
        <w:t xml:space="preserve">The United States operates approximately 93 commercial nuclear reactors providing roughly 18% of national electricity, yet faces rising demand, tightening reliability margins, and fuel-supply vulnerability that existing capacity cannot address alone. This paper argues that U.S. nuclear expansion should follow a three-tier constraint-resolution sequence: first, preserve and extend the existing fleet; second, replicate bankable designs at brownfield sites; third, support advanced reactors selectively and only where fuel, licensing, and industrial-base prerequisites are met. Using policy analysis of publicly available government, regulatory, and industry sources, the paper identifies six interdependent constraints—fuel cycle (HALEU), regulatory execution, industrial base, workforce, transmission, and financing—that collectively determine whether expansion occurs at meaningful scale. Key findings include: natural gas will remain the dominant U.S. generation source over the near term and nuclear expansion should be framed as additive within a gas-dominant grid, not substitutive; the HALEU supply chain is the most acute near-term constraint with a roughly 23x shortfall between current production and mandate; and enforceable minimums are deployable near-term while advanced reactor economics remain commercially unproven. The paper concludes that the policy question is not whether nuclear is needed but whether the U.S. will sequence its deployment with the discipline required to avoid the cost overruns and schedule failures that have historically undermined nuclear credibility.</w:t>
      </w:r>
    </w:p>
    <w:p>
      <w:pPr>
        <w:pStyle w:val="Heading1"/>
        <w:spacing w:after="240" w:before="360"/>
      </w:pPr>
      <w:r>
        <w:rPr>
          <w:rFonts w:ascii="Arial" w:cs="Arial" w:eastAsia="Arial" w:hAnsi="Arial"/>
          <w:b/>
          <w:bCs/>
          <w:color w:val="1B2A4A"/>
          <w:sz w:val="32"/>
          <w:szCs w:val="32"/>
        </w:rPr>
        <w:t xml:space="preserve">Executive Summary</w:t>
      </w:r>
    </w:p>
    <w:p>
      <w:pPr>
        <w:spacing w:after="200" w:before="0" w:line="276"/>
      </w:pPr>
      <w:r>
        <w:rPr>
          <w:rFonts w:ascii="Arial" w:cs="Arial" w:eastAsia="Arial" w:hAnsi="Arial"/>
          <w:sz w:val="22"/>
          <w:szCs w:val="22"/>
        </w:rPr>
        <w:t xml:space="preserve">The U.S. power system is entering a period of tighter reserve margins, rising load growth, and increasing dependence on reliable dispatchable capacity.</w:t>
      </w:r>
      <w:r>
        <w:rPr>
          <w:rFonts w:ascii="Arial" w:cs="Arial" w:eastAsia="Arial" w:hAnsi="Arial"/>
          <w:color w:val="1B2A4A"/>
          <w:sz w:val="16"/>
          <w:szCs w:val="16"/>
          <w:vertAlign w:val="superscript"/>
        </w:rPr>
        <w:t xml:space="preserve">2</w:t>
      </w:r>
      <w:r>
        <w:rPr>
          <w:rFonts w:ascii="Arial" w:cs="Arial" w:eastAsia="Arial" w:hAnsi="Arial"/>
          <w:sz w:val="22"/>
          <w:szCs w:val="22"/>
        </w:rPr>
        <w:t xml:space="preserve"> Under those conditions, preserving and selectively expanding firm clean generation is increasingly a reliability, industrial policy, and national resilience requirement—not a narrow decarbonization preference.</w:t>
      </w:r>
    </w:p>
    <w:p>
      <w:pPr>
        <w:spacing w:after="200" w:before="0" w:line="276"/>
      </w:pPr>
      <w:r>
        <w:rPr>
          <w:rFonts w:ascii="Arial" w:cs="Arial" w:eastAsia="Arial" w:hAnsi="Arial"/>
          <w:sz w:val="22"/>
          <w:szCs w:val="22"/>
        </w:rPr>
        <w:t>Natural gas is the dominant U.S. generation source and will remain so over the near term.3 Nuclear expansion is additive within this system, not substitutive. The policy implication is not that nuclear should dominate the U.S. energy system, but that it should be preserved and selectively expanded where it improves reliability, resilience, and system cost stability.</w:t>
      </w:r>
      <w:r>
        <w:rPr>
          <w:rFonts w:ascii="Arial" w:cs="Arial" w:eastAsia="Arial" w:hAnsi="Arial"/>
          <w:color w:val="1B2A4A"/>
          <w:sz w:val="16"/>
          <w:szCs w:val="16"/>
          <w:vertAlign w:val="superscript"/>
        </w:rPr>
      </w:r>
      <w:r>
        <w:rPr>
          <w:rFonts w:ascii="Arial" w:cs="Arial" w:eastAsia="Arial" w:hAnsi="Arial"/>
          <w:sz w:val="22"/>
          <w:szCs w:val="22"/>
        </w:rPr>
      </w:r>
    </w:p>
    <w:p>
      <w:pPr>
        <w:spacing w:after="200" w:before="0" w:line="276"/>
      </w:pPr>
      <w:r>
        <w:rPr>
          <w:rFonts w:ascii="Arial" w:cs="Arial" w:eastAsia="Arial" w:hAnsi="Arial"/>
          <w:sz w:val="22"/>
          <w:szCs w:val="22"/>
        </w:rPr>
        <w:t xml:space="preserve">This paper argues for a three-tier U.S. nuclear strategy: first, preserve and extend the existing fleet; second, recover and replicate bankable near-term deployment pathways at existing or brownfield sites; and third, accelerate advanced reactor commercialization only where licensing, fuel, financing, and industrial conditions support near-term execution. Deployment beyond early projects should be contingent on demonstrated cost control and repeatability.</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80"/>
              <w:left w:type="dxa" w:w="160"/>
              <w:bottom w:type="dxa" w:w="80"/>
              <w:right w:type="dxa" w:w="160"/>
            </w:tcMar>
          </w:tcPr>
          <w:p>
            <w:pPr>
              <w:spacing w:after="0"/>
            </w:pPr>
            <w:r>
              <w:rPr>
                <w:rFonts w:ascii="Arial" w:cs="Arial" w:eastAsia="Arial" w:hAnsi="Arial"/>
                <w:b/>
                <w:bCs/>
                <w:color w:val="FFFFFF"/>
                <w:sz w:val="22"/>
                <w:szCs w:val="22"/>
              </w:rPr>
              <w:t xml:space="preserve">KEY JUDGMENTS</w:t>
            </w:r>
          </w:p>
        </w:tc>
      </w:tr>
      <w:tr>
        <w:tc>
          <w:tcPr>
            <w:tcW w:type="dxa" w:w="9360"/>
            <w:tcBorders>
              <w:top w:val="single" w:color="1B2A4A" w:sz="1"/>
              <w:left w:val="single" w:color="1B2A4A" w:sz="1"/>
              <w:bottom w:val="single" w:color="1B2A4A" w:sz="1"/>
              <w:right w:val="single" w:color="1B2A4A" w:sz="1"/>
            </w:tcBorders>
            <w:shd w:fill="E8EDF5" w:val="clear"/>
            <w:tcMar>
              <w:top w:type="dxa" w:w="100"/>
              <w:left w:type="dxa" w:w="160"/>
              <w:bottom w:type="dxa" w:w="100"/>
              <w:right w:type="dxa" w:w="160"/>
            </w:tcMar>
          </w:tcPr>
          <w:p>
            <w:pPr>
              <w:spacing w:after="60"/>
            </w:pPr>
            <w:r>
              <w:rPr>
                <w:rFonts w:ascii="Arial" w:cs="Arial" w:eastAsia="Arial" w:hAnsi="Arial"/>
                <w:b/>
                <w:bCs/>
                <w:color w:val="1B2A4A"/>
                <w:sz w:val="22"/>
                <w:szCs w:val="22"/>
              </w:rPr>
              <w:t xml:space="preserve">1. </w:t>
            </w:r>
            <w:r>
              <w:rPr>
                <w:rFonts w:ascii="Arial" w:cs="Arial" w:eastAsia="Arial" w:hAnsi="Arial"/>
                <w:color w:val="1B2A4A"/>
                <w:sz w:val="22"/>
                <w:szCs w:val="22"/>
              </w:rPr>
              <w:t xml:space="preserve">U.S. electricity demand is rising faster than recent planning assumptions. Even conservative scenarios imply a materially tighter power system than the one around which much recent planning was built.</w:t>
            </w:r>
            <w:r>
              <w:rPr>
                <w:rFonts w:ascii="Arial" w:cs="Arial" w:eastAsia="Arial" w:hAnsi="Arial"/>
                <w:color w:val="1B2A4A"/>
                <w:sz w:val="16"/>
                <w:szCs w:val="16"/>
                <w:vertAlign w:val="superscript"/>
              </w:rPr>
              <w:t xml:space="preserve">4,2</w:t>
            </w:r>
          </w:p>
        </w:tc>
      </w:tr>
      <w:tr>
        <w:tc>
          <w:tcPr>
            <w:tcW w:type="dxa" w:w="9360"/>
            <w:tcBorders>
              <w:top w:val="single" w:color="1B2A4A" w:sz="1"/>
              <w:left w:val="single" w:color="1B2A4A" w:sz="1"/>
              <w:bottom w:val="single" w:color="1B2A4A" w:sz="1"/>
              <w:right w:val="single" w:color="1B2A4A" w:sz="1"/>
            </w:tcBorders>
            <w:shd w:fill="E8EDF5" w:val="clear"/>
            <w:tcMar>
              <w:top w:type="dxa" w:w="100"/>
              <w:left w:type="dxa" w:w="160"/>
              <w:bottom w:type="dxa" w:w="100"/>
              <w:right w:type="dxa" w:w="160"/>
            </w:tcMar>
          </w:tcPr>
          <w:p>
            <w:pPr>
              <w:spacing w:after="60"/>
            </w:pPr>
            <w:r>
              <w:rPr>
                <w:rFonts w:ascii="Arial" w:cs="Arial" w:eastAsia="Arial" w:hAnsi="Arial"/>
                <w:b/>
                <w:bCs/>
                <w:color w:val="1B2A4A"/>
                <w:sz w:val="22"/>
                <w:szCs w:val="22"/>
              </w:rPr>
              <w:t xml:space="preserve">2. </w:t>
            </w:r>
            <w:r>
              <w:rPr>
                <w:rFonts w:ascii="Arial" w:cs="Arial" w:eastAsia="Arial" w:hAnsi="Arial"/>
                <w:color w:val="1B2A4A"/>
                <w:sz w:val="22"/>
                <w:szCs w:val="22"/>
              </w:rPr>
              <w:t xml:space="preserve">Nuclear is currently the country’s largest source of firm clean power and remains difficult to replace once lost. The existing fleet of approximately 93 reactors (~97 GW) produces roughly 18% of U.S. electricity and more than half of U.S. carbon-free electricity.</w:t>
            </w:r>
            <w:r>
              <w:rPr>
                <w:rFonts w:ascii="Arial" w:cs="Arial" w:eastAsia="Arial" w:hAnsi="Arial"/>
                <w:color w:val="1B2A4A"/>
                <w:sz w:val="16"/>
                <w:szCs w:val="16"/>
                <w:vertAlign w:val="superscript"/>
              </w:rPr>
              <w:t xml:space="preserve">1,3</w:t>
            </w:r>
          </w:p>
        </w:tc>
      </w:tr>
      <w:tr>
        <w:tc>
          <w:tcPr>
            <w:tcW w:type="dxa" w:w="9360"/>
            <w:tcBorders>
              <w:top w:val="single" w:color="1B2A4A" w:sz="1"/>
              <w:left w:val="single" w:color="1B2A4A" w:sz="1"/>
              <w:bottom w:val="single" w:color="1B2A4A" w:sz="1"/>
              <w:right w:val="single" w:color="1B2A4A" w:sz="1"/>
            </w:tcBorders>
            <w:shd w:fill="E8EDF5" w:val="clear"/>
            <w:tcMar>
              <w:top w:type="dxa" w:w="100"/>
              <w:left w:type="dxa" w:w="160"/>
              <w:bottom w:type="dxa" w:w="100"/>
              <w:right w:type="dxa" w:w="160"/>
            </w:tcMar>
          </w:tcPr>
          <w:p>
            <w:pPr>
              <w:spacing w:after="60"/>
            </w:pPr>
            <w:r>
              <w:rPr>
                <w:rFonts w:ascii="Arial" w:cs="Arial" w:eastAsia="Arial" w:hAnsi="Arial"/>
                <w:b/>
                <w:bCs/>
                <w:color w:val="1B2A4A"/>
                <w:sz w:val="22"/>
                <w:szCs w:val="22"/>
              </w:rPr>
              <w:t xml:space="preserve">3. </w:t>
            </w:r>
            <w:r>
              <w:rPr>
                <w:rFonts w:ascii="Arial" w:cs="Arial" w:eastAsia="Arial" w:hAnsi="Arial"/>
                <w:color w:val="1B2A4A"/>
                <w:sz w:val="22"/>
                <w:szCs w:val="22"/>
              </w:rPr>
              <w:t xml:space="preserve">The strongest near-term policy case is fleet preservation through subsequent license renewal to 80 years, power uprates, continued economic support, and selected plant restarts at brownfield sites. These appear to be the highest-confidence near-term nuclear investments available.</w:t>
            </w:r>
          </w:p>
        </w:tc>
      </w:tr>
      <w:tr>
        <w:tc>
          <w:tcPr>
            <w:tcW w:type="dxa" w:w="9360"/>
            <w:tcBorders>
              <w:top w:val="single" w:color="1B2A4A" w:sz="1"/>
              <w:left w:val="single" w:color="1B2A4A" w:sz="1"/>
              <w:bottom w:val="single" w:color="1B2A4A" w:sz="1"/>
              <w:right w:val="single" w:color="1B2A4A" w:sz="1"/>
            </w:tcBorders>
            <w:shd w:fill="E8EDF5" w:val="clear"/>
            <w:tcMar>
              <w:top w:type="dxa" w:w="100"/>
              <w:left w:type="dxa" w:w="160"/>
              <w:bottom w:type="dxa" w:w="100"/>
              <w:right w:type="dxa" w:w="160"/>
            </w:tcMar>
          </w:tcPr>
          <w:p>
            <w:pPr>
              <w:spacing w:after="60"/>
            </w:pPr>
            <w:r>
              <w:rPr>
                <w:rFonts w:ascii="Arial" w:cs="Arial" w:eastAsia="Arial" w:hAnsi="Arial"/>
                <w:b/>
                <w:bCs/>
                <w:color w:val="1B2A4A"/>
                <w:sz w:val="22"/>
                <w:szCs w:val="22"/>
              </w:rPr>
              <w:t xml:space="preserve">4. </w:t>
            </w:r>
            <w:r>
              <w:rPr>
                <w:rFonts w:ascii="Arial" w:cs="Arial" w:eastAsia="Arial" w:hAnsi="Arial"/>
                <w:color w:val="1B2A4A"/>
                <w:sz w:val="22"/>
                <w:szCs w:val="22"/>
              </w:rPr>
              <w:t xml:space="preserve">Natural gas will remain the dominant dispatchable and marginal generation resource over the near term.</w:t>
            </w:r>
            <w:r>
              <w:rPr>
                <w:rFonts w:ascii="Arial" w:cs="Arial" w:eastAsia="Arial" w:hAnsi="Arial"/>
                <w:color w:val="1B2A4A"/>
                <w:sz w:val="16"/>
                <w:szCs w:val="16"/>
                <w:vertAlign w:val="superscript"/>
              </w:rPr>
              <w:t xml:space="preserve">3</w:t>
            </w:r>
            <w:r>
              <w:rPr>
                <w:rFonts w:ascii="Arial" w:cs="Arial" w:eastAsia="Arial" w:hAnsi="Arial"/>
                <w:color w:val="1B2A4A"/>
                <w:sz w:val="22"/>
                <w:szCs w:val="22"/>
              </w:rPr>
              <w:t xml:space="preserve"> Nuclear expansion is additive within a gas-dominant grid, not a replacement for gas-fired generation.</w:t>
            </w:r>
          </w:p>
        </w:tc>
      </w:tr>
      <w:tr>
        <w:tc>
          <w:tcPr>
            <w:tcW w:type="dxa" w:w="9360"/>
            <w:tcBorders>
              <w:top w:val="single" w:color="1B2A4A" w:sz="1"/>
              <w:left w:val="single" w:color="1B2A4A" w:sz="1"/>
              <w:bottom w:val="single" w:color="1B2A4A" w:sz="1"/>
              <w:right w:val="single" w:color="1B2A4A" w:sz="1"/>
            </w:tcBorders>
            <w:shd w:fill="E8EDF5" w:val="clear"/>
            <w:tcMar>
              <w:top w:type="dxa" w:w="100"/>
              <w:left w:type="dxa" w:w="160"/>
              <w:bottom w:type="dxa" w:w="100"/>
              <w:right w:type="dxa" w:w="160"/>
            </w:tcMar>
          </w:tcPr>
          <w:p>
            <w:pPr>
              <w:spacing w:after="60"/>
            </w:pPr>
            <w:r>
              <w:rPr>
                <w:rFonts w:ascii="Arial" w:cs="Arial" w:eastAsia="Arial" w:hAnsi="Arial"/>
                <w:b/>
                <w:bCs/>
                <w:color w:val="1B2A4A"/>
                <w:sz w:val="22"/>
                <w:szCs w:val="22"/>
              </w:rPr>
              <w:t xml:space="preserve">5. </w:t>
            </w:r>
            <w:r>
              <w:rPr>
                <w:rFonts w:ascii="Arial" w:cs="Arial" w:eastAsia="Arial" w:hAnsi="Arial"/>
                <w:color w:val="1B2A4A"/>
                <w:sz w:val="22"/>
                <w:szCs w:val="22"/>
              </w:rPr>
              <w:t xml:space="preserve">Advanced reactors are promising but remain limited by first-of-a-kind cost escalation, HALEU fuel-supply constraints, and execution risk. Tier 3 technologies should be treated as execution-dependent rather than assumed capacity additions.</w:t>
            </w:r>
          </w:p>
        </w:tc>
      </w:tr>
      <w:tr>
        <w:tc>
          <w:tcPr>
            <w:tcW w:type="dxa" w:w="9360"/>
            <w:tcBorders>
              <w:top w:val="single" w:color="1B2A4A" w:sz="1"/>
              <w:left w:val="single" w:color="1B2A4A" w:sz="1"/>
              <w:bottom w:val="single" w:color="1B2A4A" w:sz="1"/>
              <w:right w:val="single" w:color="1B2A4A" w:sz="1"/>
            </w:tcBorders>
            <w:shd w:fill="E8EDF5" w:val="clear"/>
            <w:tcMar>
              <w:top w:type="dxa" w:w="100"/>
              <w:left w:type="dxa" w:w="160"/>
              <w:bottom w:type="dxa" w:w="100"/>
              <w:right w:type="dxa" w:w="160"/>
            </w:tcMar>
          </w:tcPr>
          <w:p>
            <w:pPr>
              <w:spacing w:after="60"/>
            </w:pPr>
            <w:r>
              <w:rPr>
                <w:rFonts w:ascii="Arial" w:cs="Arial" w:eastAsia="Arial" w:hAnsi="Arial"/>
                <w:b/>
                <w:bCs/>
                <w:color w:val="1B2A4A"/>
                <w:sz w:val="22"/>
                <w:szCs w:val="22"/>
              </w:rPr>
              <w:t xml:space="preserve">6. </w:t>
            </w:r>
            <w:r>
              <w:rPr>
                <w:rFonts w:ascii="Arial" w:cs="Arial" w:eastAsia="Arial" w:hAnsi="Arial"/>
                <w:color w:val="1B2A4A"/>
                <w:sz w:val="22"/>
                <w:szCs w:val="22"/>
              </w:rPr>
              <w:t xml:space="preserve">The decisive bottlenecks are regulatory predictability, HALEU and enrichment supply-chain buildout, transmission integration, workforce pipeline expansion, and sustained policy stability across funding cycles.</w:t>
            </w:r>
          </w:p>
        </w:tc>
      </w:tr>
      <w:tr>
        <w:tc>
          <w:tcPr>
            <w:tcW w:type="dxa" w:w="9360"/>
            <w:tcBorders>
              <w:top w:val="single" w:color="1B2A4A" w:sz="1"/>
              <w:left w:val="single" w:color="1B2A4A" w:sz="1"/>
              <w:bottom w:val="single" w:color="1B2A4A" w:sz="1"/>
              <w:right w:val="single" w:color="1B2A4A" w:sz="1"/>
            </w:tcBorders>
            <w:shd w:fill="E8EDF5" w:val="clear"/>
            <w:tcMar>
              <w:top w:type="dxa" w:w="100"/>
              <w:left w:type="dxa" w:w="160"/>
              <w:bottom w:type="dxa" w:w="100"/>
              <w:right w:type="dxa" w:w="160"/>
            </w:tcMar>
          </w:tcPr>
          <w:p>
            <w:pPr>
              <w:spacing w:after="60"/>
            </w:pPr>
            <w:r>
              <w:rPr>
                <w:rFonts w:ascii="Arial" w:cs="Arial" w:eastAsia="Arial" w:hAnsi="Arial"/>
                <w:b/>
                <w:bCs/>
                <w:color w:val="1B2A4A"/>
                <w:sz w:val="22"/>
                <w:szCs w:val="22"/>
              </w:rPr>
              <w:t xml:space="preserve">7. </w:t>
            </w:r>
            <w:r>
              <w:rPr>
                <w:rFonts w:ascii="Arial" w:cs="Arial" w:eastAsia="Arial" w:hAnsi="Arial"/>
                <w:color w:val="1B2A4A"/>
                <w:sz w:val="22"/>
                <w:szCs w:val="22"/>
              </w:rPr>
              <w:t xml:space="preserve">The evidence does not support near-term substitution of natural gas with nuclear generation at scale. Nuclear expansion does not eliminate the need for transmission buildout, interconnection reform, or continued investment in grid flexibility.</w:t>
            </w:r>
          </w:p>
        </w:tc>
      </w:tr>
    </w:tbl>
    <w:p>
      <w:r>
        <w:br w:type="page"/>
      </w:r>
    </w:p>
    <w:p>
      <w:pPr>
        <w:pStyle w:val="Heading1"/>
        <w:spacing w:after="240" w:before="360"/>
      </w:pPr>
      <w:r>
        <w:rPr>
          <w:rFonts w:ascii="Arial" w:cs="Arial" w:eastAsia="Arial" w:hAnsi="Arial"/>
          <w:b/>
          <w:bCs/>
          <w:color w:val="1B2A4A"/>
          <w:sz w:val="32"/>
          <w:szCs w:val="32"/>
        </w:rPr>
        <w:t xml:space="preserve">Section I — The U.S. Power Constraint Is Real</w:t>
      </w:r>
    </w:p>
    <w:p>
      <w:pPr>
        <w:spacing w:after="200" w:before="0" w:line="276"/>
      </w:pPr>
      <w:r>
        <w:rPr>
          <w:rFonts w:ascii="Arial" w:cs="Arial" w:eastAsia="Arial" w:hAnsi="Arial"/>
          <w:sz w:val="22"/>
          <w:szCs w:val="22"/>
        </w:rPr>
        <w:t xml:space="preserve">The U.S. power system is entering a period of tighter reserve margins, rising load growth, and increasing dependence on reliable dispatchable capacity. This section establishes the demand, reliability, and transmission conditions that define the operating environment for any generation expansion strategy.</w:t>
      </w:r>
    </w:p>
    <w:p>
      <w:pPr>
        <w:pStyle w:val="Heading2"/>
        <w:spacing w:after="180" w:before="280"/>
      </w:pPr>
      <w:r>
        <w:rPr>
          <w:rFonts w:ascii="Arial" w:cs="Arial" w:eastAsia="Arial" w:hAnsi="Arial"/>
          <w:b/>
          <w:bCs/>
          <w:color w:val="1B2A4A"/>
          <w:sz w:val="26"/>
          <w:szCs w:val="26"/>
        </w:rPr>
        <w:t xml:space="preserve">Demand Growth</w:t>
      </w:r>
    </w:p>
    <w:p>
      <w:pPr>
        <w:spacing w:after="200" w:before="0" w:line="276"/>
      </w:pPr>
      <w:r>
        <w:rPr>
          <w:rFonts w:ascii="Arial" w:cs="Arial" w:eastAsia="Arial" w:hAnsi="Arial"/>
          <w:sz w:val="22"/>
          <w:szCs w:val="22"/>
        </w:rPr>
        <w:t xml:space="preserve">U.S. electricity consumption reached approximately 4,097 TWh in 2024, up roughly 3% from 2023.</w:t>
      </w:r>
      <w:r>
        <w:rPr>
          <w:rFonts w:ascii="Arial" w:cs="Arial" w:eastAsia="Arial" w:hAnsi="Arial"/>
          <w:color w:val="1B2A4A"/>
          <w:sz w:val="16"/>
          <w:szCs w:val="16"/>
          <w:vertAlign w:val="superscript"/>
        </w:rPr>
        <w:t xml:space="preserve">4</w:t>
      </w:r>
      <w:r>
        <w:rPr>
          <w:rFonts w:ascii="Arial" w:cs="Arial" w:eastAsia="Arial" w:hAnsi="Arial"/>
          <w:sz w:val="22"/>
          <w:szCs w:val="22"/>
        </w:rPr>
        <w:t xml:space="preserve"> EIA projects continued acceleration to approximately 4,193 TWh in 2025 and 4,283 TWh in 2026.</w:t>
      </w:r>
      <w:r>
        <w:rPr>
          <w:rFonts w:ascii="Arial" w:cs="Arial" w:eastAsia="Arial" w:hAnsi="Arial"/>
          <w:color w:val="1B2A4A"/>
          <w:sz w:val="16"/>
          <w:szCs w:val="16"/>
          <w:vertAlign w:val="superscript"/>
        </w:rPr>
        <w:t xml:space="preserve">5</w:t>
      </w:r>
      <w:r>
        <w:rPr>
          <w:rFonts w:ascii="Arial" w:cs="Arial" w:eastAsia="Arial" w:hAnsi="Arial"/>
          <w:sz w:val="22"/>
          <w:szCs w:val="22"/>
        </w:rPr>
        <w:t xml:space="preserve"> The recent increase appears to reflect structural changes in load composition rather than purely cyclical variation.</w:t>
      </w:r>
    </w:p>
    <w:p>
      <w:pPr>
        <w:spacing w:after="200" w:before="0" w:line="276"/>
      </w:pPr>
      <w:r>
        <w:rPr>
          <w:rFonts w:ascii="Arial" w:cs="Arial" w:eastAsia="Arial" w:hAnsi="Arial"/>
          <w:sz w:val="22"/>
          <w:szCs w:val="22"/>
        </w:rPr>
        <w:t xml:space="preserve">Data-center expansion is the most visible near-term demand accelerator. DOE and Lawrence Berkeley National Laboratory estimate data centers consumed 176 TWh in 2023 (4.4% of U.S. electricity).</w:t>
      </w:r>
      <w:r>
        <w:rPr>
          <w:rFonts w:ascii="Arial" w:cs="Arial" w:eastAsia="Arial" w:hAnsi="Arial"/>
          <w:color w:val="1B2A4A"/>
          <w:sz w:val="16"/>
          <w:szCs w:val="16"/>
          <w:vertAlign w:val="superscript"/>
        </w:rPr>
        <w:t xml:space="preserve">6</w:t>
      </w:r>
      <w:r>
        <w:rPr>
          <w:rFonts w:ascii="Arial" w:cs="Arial" w:eastAsia="Arial" w:hAnsi="Arial"/>
          <w:sz w:val="22"/>
          <w:szCs w:val="22"/>
        </w:rPr>
        <w:t xml:space="preserve"> Projections for 2028–2030 vary: DOE’s central estimate is 325–580 TWh.</w:t>
      </w:r>
      <w:r>
        <w:rPr>
          <w:rFonts w:ascii="Arial" w:cs="Arial" w:eastAsia="Arial" w:hAnsi="Arial"/>
          <w:color w:val="1B2A4A"/>
          <w:sz w:val="16"/>
          <w:szCs w:val="16"/>
          <w:vertAlign w:val="superscript"/>
        </w:rPr>
        <w:t xml:space="preserve">6</w:t>
      </w:r>
      <w:r>
        <w:rPr>
          <w:rFonts w:ascii="Arial" w:cs="Arial" w:eastAsia="Arial" w:hAnsi="Arial"/>
          <w:sz w:val="22"/>
          <w:szCs w:val="22"/>
        </w:rPr>
        <w:t xml:space="preserve"> One private-sector forecast from S&amp;P Global projects data-center grid demand reaching 134.4 GW by 2030.</w:t>
      </w:r>
      <w:r>
        <w:rPr>
          <w:rFonts w:ascii="Arial" w:cs="Arial" w:eastAsia="Arial" w:hAnsi="Arial"/>
          <w:color w:val="1B2A4A"/>
          <w:sz w:val="16"/>
          <w:szCs w:val="16"/>
          <w:vertAlign w:val="superscript"/>
        </w:rPr>
        <w:t xml:space="preserve">7</w:t>
      </w:r>
      <w:r>
        <w:rPr>
          <w:rFonts w:ascii="Arial" w:cs="Arial" w:eastAsia="Arial" w:hAnsi="Arial"/>
          <w:sz w:val="22"/>
          <w:szCs w:val="22"/>
        </w:rPr>
        <w:t xml:space="preserve"> Forecast variance should be acknowledged: some interconnection requests are speculative, and efficiency gains could moderate electricity intensity. That uncertainty weakens extreme projections but does not remove the underlying planning problem.</w:t>
      </w:r>
    </w:p>
    <w:p>
      <w:pPr>
        <w:spacing w:after="200" w:before="0" w:line="276"/>
      </w:pPr>
      <w:r>
        <w:rPr>
          <w:rFonts w:ascii="Arial" w:cs="Arial" w:eastAsia="Arial" w:hAnsi="Arial"/>
          <w:sz w:val="22"/>
          <w:szCs w:val="22"/>
        </w:rPr>
        <w:t xml:space="preserve">Industrial reshoring is substantial: EIA projects industrial electricity demand rising 43% by 2050.</w:t>
      </w:r>
      <w:r>
        <w:rPr>
          <w:rFonts w:ascii="Arial" w:cs="Arial" w:eastAsia="Arial" w:hAnsi="Arial"/>
          <w:color w:val="1B2A4A"/>
          <w:sz w:val="16"/>
          <w:szCs w:val="16"/>
          <w:vertAlign w:val="superscript"/>
        </w:rPr>
        <w:t xml:space="preserve">8</w:t>
      </w:r>
      <w:r>
        <w:rPr>
          <w:rFonts w:ascii="Arial" w:cs="Arial" w:eastAsia="Arial" w:hAnsi="Arial"/>
          <w:sz w:val="22"/>
          <w:szCs w:val="22"/>
        </w:rPr>
        <w:t xml:space="preserve"> Annual construction spending on new U.S. manufacturing facilities has more than doubled since 2021.</w:t>
      </w:r>
      <w:r>
        <w:rPr>
          <w:rFonts w:ascii="Arial" w:cs="Arial" w:eastAsia="Arial" w:hAnsi="Arial"/>
          <w:color w:val="1B2A4A"/>
          <w:sz w:val="16"/>
          <w:szCs w:val="16"/>
          <w:vertAlign w:val="superscript"/>
        </w:rPr>
        <w:t xml:space="preserve">9</w:t>
      </w:r>
    </w:p>
    <w:p>
      <w:pPr>
        <w:spacing w:after="200" w:before="0" w:line="276"/>
      </w:pPr>
      <w:r>
        <w:rPr>
          <w:rFonts w:ascii="Arial" w:cs="Arial" w:eastAsia="Arial" w:hAnsi="Arial"/>
          <w:b/>
          <w:bCs/>
          <w:sz w:val="22"/>
          <w:szCs w:val="22"/>
        </w:rPr>
        <w:t xml:space="preserve">Policy implication: </w:t>
      </w:r>
      <w:r>
        <w:rPr>
          <w:rFonts w:ascii="Arial" w:cs="Arial" w:eastAsia="Arial" w:hAnsi="Arial"/>
          <w:sz w:val="22"/>
          <w:szCs w:val="22"/>
        </w:rPr>
        <w:t xml:space="preserve">Even conservative demand scenarios now imply a materially tighter power system than the one around which much recent planning was built. Generation, capacity, and transmission policy should be updated accordingly.</w:t>
      </w:r>
    </w:p>
    <w:p>
      <w:pPr>
        <w:pStyle w:val="Heading2"/>
        <w:spacing w:after="180" w:before="280"/>
      </w:pPr>
      <w:r>
        <w:rPr>
          <w:rFonts w:ascii="Arial" w:cs="Arial" w:eastAsia="Arial" w:hAnsi="Arial"/>
          <w:b/>
          <w:bCs/>
          <w:color w:val="1B2A4A"/>
          <w:sz w:val="26"/>
          <w:szCs w:val="26"/>
        </w:rPr>
        <w:t xml:space="preserve">Reliability Margins</w:t>
      </w:r>
    </w:p>
    <w:p>
      <w:pPr>
        <w:spacing w:after="200" w:before="0" w:line="276"/>
      </w:pPr>
      <w:r>
        <w:rPr>
          <w:rFonts w:ascii="Arial" w:cs="Arial" w:eastAsia="Arial" w:hAnsi="Arial"/>
          <w:sz w:val="22"/>
          <w:szCs w:val="22"/>
        </w:rPr>
        <w:t xml:space="preserve">NERC’s 2024–2025 Long-Term Reliability Assessments project 78 GW of winter peak demand growth over the next decade.</w:t>
      </w:r>
      <w:r>
        <w:rPr>
          <w:rFonts w:ascii="Arial" w:cs="Arial" w:eastAsia="Arial" w:hAnsi="Arial"/>
          <w:color w:val="1B2A4A"/>
          <w:sz w:val="16"/>
          <w:szCs w:val="16"/>
          <w:vertAlign w:val="superscript"/>
        </w:rPr>
        <w:t xml:space="preserve">2</w:t>
      </w:r>
      <w:r>
        <w:rPr>
          <w:rFonts w:ascii="Arial" w:cs="Arial" w:eastAsia="Arial" w:hAnsi="Arial"/>
          <w:sz w:val="22"/>
          <w:szCs w:val="22"/>
        </w:rPr>
        <w:t xml:space="preserve"> Confirmed generator retirements total 52 GW by 2029, with an additional 37 GW at risk.</w:t>
      </w:r>
      <w:r>
        <w:rPr>
          <w:rFonts w:ascii="Arial" w:cs="Arial" w:eastAsia="Arial" w:hAnsi="Arial"/>
          <w:color w:val="1B2A4A"/>
          <w:sz w:val="16"/>
          <w:szCs w:val="16"/>
          <w:vertAlign w:val="superscript"/>
        </w:rPr>
        <w:t xml:space="preserve">2</w:t>
      </w:r>
      <w:r>
        <w:rPr>
          <w:rFonts w:ascii="Arial" w:cs="Arial" w:eastAsia="Arial" w:hAnsi="Arial"/>
          <w:sz w:val="22"/>
          <w:szCs w:val="22"/>
        </w:rPr>
        <w:t xml:space="preserve"> PJM has projected substantial load growth by 2030, with data-center expansion as a major driver.</w:t>
      </w:r>
      <w:r>
        <w:rPr>
          <w:rFonts w:ascii="Arial" w:cs="Arial" w:eastAsia="Arial" w:hAnsi="Arial"/>
          <w:color w:val="1B2A4A"/>
          <w:sz w:val="16"/>
          <w:szCs w:val="16"/>
          <w:vertAlign w:val="superscript"/>
        </w:rPr>
        <w:t xml:space="preserve">10</w:t>
      </w:r>
      <w:r>
        <w:rPr>
          <w:rFonts w:ascii="Arial" w:cs="Arial" w:eastAsia="Arial" w:hAnsi="Arial"/>
          <w:sz w:val="22"/>
          <w:szCs w:val="22"/>
        </w:rPr>
        <w:t xml:space="preserve"> MISO carries a HIGH RISK designation from NERC from 2028 onward.</w:t>
      </w:r>
      <w:r>
        <w:rPr>
          <w:rFonts w:ascii="Arial" w:cs="Arial" w:eastAsia="Arial" w:hAnsi="Arial"/>
          <w:color w:val="1B2A4A"/>
          <w:sz w:val="16"/>
          <w:szCs w:val="16"/>
          <w:vertAlign w:val="superscript"/>
        </w:rPr>
        <w:t xml:space="preserve">2</w:t>
      </w:r>
    </w:p>
    <w:p>
      <w:pPr>
        <w:spacing w:after="200" w:before="0" w:line="276"/>
      </w:pPr>
      <w:r>
        <w:rPr>
          <w:rFonts w:ascii="Arial" w:cs="Arial" w:eastAsia="Arial" w:hAnsi="Arial"/>
          <w:sz w:val="22"/>
          <w:szCs w:val="22"/>
        </w:rPr>
        <w:t xml:space="preserve">Recent grid emergencies illustrate the reliability value of firm, fuel-secure generation. During Winter Storm Uri (2021), over 52,000 MW went offline in Texas; natural gas accounted for 58% of unit outages, nuclear less than 1%.</w:t>
      </w:r>
      <w:r>
        <w:rPr>
          <w:rFonts w:ascii="Arial" w:cs="Arial" w:eastAsia="Arial" w:hAnsi="Arial"/>
          <w:color w:val="1B2A4A"/>
          <w:sz w:val="16"/>
          <w:szCs w:val="16"/>
          <w:vertAlign w:val="superscript"/>
        </w:rPr>
        <w:t xml:space="preserve">11</w:t>
      </w:r>
      <w:r>
        <w:rPr>
          <w:rFonts w:ascii="Arial" w:cs="Arial" w:eastAsia="Arial" w:hAnsi="Arial"/>
          <w:sz w:val="22"/>
          <w:szCs w:val="22"/>
        </w:rPr>
        <w:t xml:space="preserve"> During Winter Storm Elliott (2022), gas, coal, and oil accounted for 90% of prolonged outages.</w:t>
      </w:r>
      <w:r>
        <w:rPr>
          <w:rFonts w:ascii="Arial" w:cs="Arial" w:eastAsia="Arial" w:hAnsi="Arial"/>
          <w:color w:val="1B2A4A"/>
          <w:sz w:val="16"/>
          <w:szCs w:val="16"/>
          <w:vertAlign w:val="superscript"/>
        </w:rPr>
        <w:t xml:space="preserve">12</w:t>
      </w:r>
      <w:r>
        <w:rPr>
          <w:rFonts w:ascii="Arial" w:cs="Arial" w:eastAsia="Arial" w:hAnsi="Arial"/>
          <w:sz w:val="22"/>
          <w:szCs w:val="22"/>
        </w:rPr>
        <w:t xml:space="preserve"> California’s 2020 rolling blackouts illustrated the structural vulnerability of the evening net demand peak in high-solar-penetration systems.</w:t>
      </w:r>
      <w:r>
        <w:rPr>
          <w:rFonts w:ascii="Arial" w:cs="Arial" w:eastAsia="Arial" w:hAnsi="Arial"/>
          <w:color w:val="1B2A4A"/>
          <w:sz w:val="16"/>
          <w:szCs w:val="16"/>
          <w:vertAlign w:val="superscript"/>
        </w:rPr>
        <w:t xml:space="preserve">13</w:t>
      </w:r>
    </w:p>
    <w:p>
      <w:pPr>
        <w:spacing w:after="200" w:before="0" w:line="276"/>
      </w:pPr>
      <w:r>
        <w:rPr>
          <w:rFonts w:ascii="Arial" w:cs="Arial" w:eastAsia="Arial" w:hAnsi="Arial"/>
          <w:sz w:val="22"/>
          <w:szCs w:val="22"/>
        </w:rPr>
        <w:t>PJM’s 2027/2028 capacity auction reached the $333.44/MW-day price cap and the RTO fell 6,625 MW short of its reserve margin target for the first time.14 This is evidence that dependable capacity has become scarcer and more valuable—not an endorsement of any single technology.</w:t>
      </w:r>
      <w:r>
        <w:rPr>
          <w:rFonts w:ascii="Arial" w:cs="Arial" w:eastAsia="Arial" w:hAnsi="Arial"/>
          <w:color w:val="1B2A4A"/>
          <w:sz w:val="16"/>
          <w:szCs w:val="16"/>
          <w:vertAlign w:val="superscript"/>
        </w:rPr>
      </w:r>
      <w:r>
        <w:rPr>
          <w:rFonts w:ascii="Arial" w:cs="Arial" w:eastAsia="Arial" w:hAnsi="Arial"/>
          <w:sz w:val="22"/>
          <w:szCs w:val="22"/>
        </w:rPr>
      </w:r>
    </w:p>
    <w:p>
      <w:pPr>
        <w:pStyle w:val="Heading2"/>
        <w:spacing w:after="180" w:before="280"/>
      </w:pPr>
      <w:r>
        <w:rPr>
          <w:rFonts w:ascii="Arial" w:cs="Arial" w:eastAsia="Arial" w:hAnsi="Arial"/>
          <w:b/>
          <w:bCs/>
          <w:color w:val="1B2A4A"/>
          <w:sz w:val="26"/>
          <w:szCs w:val="26"/>
        </w:rPr>
        <w:t xml:space="preserve">Transmission Constraints</w:t>
      </w:r>
    </w:p>
    <w:p>
      <w:pPr>
        <w:spacing w:after="200" w:before="0" w:line="276"/>
      </w:pPr>
      <w:r>
        <w:rPr>
          <w:rFonts w:ascii="Arial" w:cs="Arial" w:eastAsia="Arial" w:hAnsi="Arial"/>
          <w:sz w:val="22"/>
          <w:szCs w:val="22"/>
        </w:rPr>
        <w:t xml:space="preserve">In 2024, high-voltage (345 kV+) transmission completions remained well below the pace needed to maintain reliability and support projected load growth.</w:t>
      </w:r>
      <w:r>
        <w:rPr>
          <w:rFonts w:ascii="Arial" w:cs="Arial" w:eastAsia="Arial" w:hAnsi="Arial"/>
          <w:color w:val="1B2A4A"/>
          <w:sz w:val="16"/>
          <w:szCs w:val="16"/>
          <w:vertAlign w:val="superscript"/>
        </w:rPr>
        <w:t xml:space="preserve">15</w:t>
      </w:r>
      <w:r>
        <w:rPr>
          <w:rFonts w:ascii="Arial" w:cs="Arial" w:eastAsia="Arial" w:hAnsi="Arial"/>
          <w:sz w:val="22"/>
          <w:szCs w:val="22"/>
        </w:rPr>
        <w:t xml:space="preserve"> The interconnection queue contains over 2,300 GW of proposals—more than twice installed capacity—with only approximately 19% historically reaching commercial operation.</w:t>
      </w:r>
      <w:r>
        <w:rPr>
          <w:rFonts w:ascii="Arial" w:cs="Arial" w:eastAsia="Arial" w:hAnsi="Arial"/>
          <w:color w:val="1B2A4A"/>
          <w:sz w:val="16"/>
          <w:szCs w:val="16"/>
          <w:vertAlign w:val="superscript"/>
        </w:rPr>
        <w:t xml:space="preserve">16</w:t>
      </w:r>
      <w:r>
        <w:rPr>
          <w:rFonts w:ascii="Arial" w:cs="Arial" w:eastAsia="Arial" w:hAnsi="Arial"/>
          <w:sz w:val="22"/>
          <w:szCs w:val="22"/>
        </w:rPr>
        <w:t xml:space="preserve"> FERC Order 1920 (May 2024) mandates 20-year transmission planning with scenario analysis, but implementation timelines and legal challenges introduce uncertainty.</w:t>
      </w:r>
      <w:r>
        <w:rPr>
          <w:rFonts w:ascii="Arial" w:cs="Arial" w:eastAsia="Arial" w:hAnsi="Arial"/>
          <w:color w:val="1B2A4A"/>
          <w:sz w:val="16"/>
          <w:szCs w:val="16"/>
          <w:vertAlign w:val="superscript"/>
        </w:rPr>
        <w:t xml:space="preserve">17</w:t>
      </w:r>
    </w:p>
    <w:p>
      <w:pPr>
        <w:spacing w:after="200" w:before="0" w:line="276"/>
      </w:pPr>
      <w:r>
        <w:rPr>
          <w:rFonts w:ascii="Arial" w:cs="Arial" w:eastAsia="Arial" w:hAnsi="Arial"/>
          <w:b/>
          <w:bCs/>
          <w:sz w:val="22"/>
          <w:szCs w:val="22"/>
        </w:rPr>
        <w:t xml:space="preserve">Policy implication: </w:t>
      </w:r>
      <w:r>
        <w:rPr>
          <w:rFonts w:ascii="Arial" w:cs="Arial" w:eastAsia="Arial" w:hAnsi="Arial"/>
          <w:sz w:val="22"/>
          <w:szCs w:val="22"/>
        </w:rPr>
        <w:t xml:space="preserve">No generation technology—nuclear included—can deliver reliability improvements if transmission and interconnection infrastructure cannot keep pace with deployment.</w:t>
      </w:r>
    </w:p>
    <w:p>
      <w:r>
        <w:br w:type="page"/>
      </w:r>
    </w:p>
    <w:p>
      <w:pPr>
        <w:pStyle w:val="Heading1"/>
        <w:spacing w:after="240" w:before="360"/>
      </w:pPr>
      <w:r>
        <w:rPr>
          <w:rFonts w:ascii="Arial" w:cs="Arial" w:eastAsia="Arial" w:hAnsi="Arial"/>
          <w:b/>
          <w:bCs/>
          <w:color w:val="1B2A4A"/>
          <w:sz w:val="32"/>
          <w:szCs w:val="32"/>
        </w:rPr>
        <w:t xml:space="preserve">Section II — What Nuclear Can Realistically Deliver (0–10 Years)</w:t>
      </w:r>
    </w:p>
    <w:p>
      <w:pPr>
        <w:spacing w:after="200" w:before="0" w:line="276"/>
      </w:pPr>
      <w:r>
        <w:rPr>
          <w:rFonts w:ascii="Arial" w:cs="Arial" w:eastAsia="Arial" w:hAnsi="Arial"/>
          <w:sz w:val="22"/>
          <w:szCs w:val="22"/>
        </w:rPr>
        <w:t xml:space="preserve">Nuclear’s near-term contribution to the U.S. power system is bounded by execution reality, not theoretical capacity. The existing fleet is commercially competitive and operationally proven. Restarts and brownfield deployment are near-term executable under current policy frameworks. Advanced reactors remain execution-dependent and should not be treated as assumed capacity additions.</w:t>
      </w:r>
    </w:p>
    <w:p>
      <w:pPr>
        <w:pStyle w:val="Heading2"/>
        <w:spacing w:after="180" w:before="280"/>
      </w:pPr>
      <w:r>
        <w:rPr>
          <w:rFonts w:ascii="Arial" w:cs="Arial" w:eastAsia="Arial" w:hAnsi="Arial"/>
          <w:b/>
          <w:bCs/>
          <w:color w:val="1B2A4A"/>
          <w:sz w:val="26"/>
          <w:szCs w:val="26"/>
        </w:rPr>
        <w:t xml:space="preserve">Tier 1 — Deployable Now: Fleet Preservation, License Extension, Uprates, and Restarts</w:t>
      </w:r>
    </w:p>
    <w:p>
      <w:pPr>
        <w:spacing w:after="200" w:before="0" w:line="276"/>
      </w:pPr>
      <w:r>
        <w:rPr>
          <w:rFonts w:ascii="Arial" w:cs="Arial" w:eastAsia="Arial" w:hAnsi="Arial"/>
          <w:sz w:val="22"/>
          <w:szCs w:val="22"/>
        </w:rPr>
        <w:t>The existing fleet (see Note on Data) operates at capacity factors consistently above 90%, produces roughly 18% of U.S. electricity, and provides more than half of all U.S. carbon-free electricity.1,3 Industry and DOE cost assessments indicate average total generating costs of approximately $31–$32/MWh, down substantially from 2012 levels.18 With the IRA Section 45U production tax credit providing up to $15/MWh through 2032, the fleet’s near-term economic position is materially strengthened.19</w:t>
      </w:r>
      <w:r>
        <w:rPr>
          <w:rFonts w:ascii="Arial" w:cs="Arial" w:eastAsia="Arial" w:hAnsi="Arial"/>
          <w:color w:val="1B2A4A"/>
          <w:sz w:val="16"/>
          <w:szCs w:val="16"/>
          <w:vertAlign w:val="superscript"/>
        </w:rPr>
      </w:r>
      <w:r>
        <w:rPr>
          <w:rFonts w:ascii="Arial" w:cs="Arial" w:eastAsia="Arial" w:hAnsi="Arial"/>
          <w:sz w:val="22"/>
          <w:szCs w:val="22"/>
        </w:rPr>
      </w:r>
      <w:r>
        <w:rPr>
          <w:rFonts w:ascii="Arial" w:cs="Arial" w:eastAsia="Arial" w:hAnsi="Arial"/>
          <w:color w:val="1B2A4A"/>
          <w:sz w:val="16"/>
          <w:szCs w:val="16"/>
          <w:vertAlign w:val="superscript"/>
        </w:rPr>
      </w:r>
      <w:r>
        <w:rPr>
          <w:rFonts w:ascii="Arial" w:cs="Arial" w:eastAsia="Arial" w:hAnsi="Arial"/>
          <w:sz w:val="22"/>
          <w:szCs w:val="22"/>
        </w:rPr>
      </w:r>
      <w:r>
        <w:rPr>
          <w:rFonts w:ascii="Arial" w:cs="Arial" w:eastAsia="Arial" w:hAnsi="Arial"/>
          <w:color w:val="1B2A4A"/>
          <w:sz w:val="16"/>
          <w:szCs w:val="16"/>
          <w:vertAlign w:val="superscript"/>
        </w:rPr>
      </w:r>
    </w:p>
    <w:p>
      <w:pPr>
        <w:spacing w:after="200" w:before="0" w:line="276"/>
      </w:pPr>
      <w:r>
        <w:rPr>
          <w:rFonts w:ascii="Arial" w:cs="Arial" w:eastAsia="Arial" w:hAnsi="Arial"/>
          <w:b/>
          <w:bCs/>
          <w:sz w:val="22"/>
          <w:szCs w:val="22"/>
        </w:rPr>
        <w:t xml:space="preserve">For near-term policy, preserving the existing fleet appears to be the highest-confidence nuclear investment decision available.</w:t>
      </w:r>
    </w:p>
    <w:p>
      <w:pPr>
        <w:spacing w:after="200" w:before="0" w:line="276"/>
      </w:pPr>
      <w:r>
        <w:rPr>
          <w:rFonts w:ascii="Arial" w:cs="Arial" w:eastAsia="Arial" w:hAnsi="Arial"/>
          <w:sz w:val="22"/>
          <w:szCs w:val="22"/>
        </w:rPr>
        <w:t xml:space="preserve">NRC has completed 10 subsequent license renewal approvals covering approximately 20 reactor units, extending operating authorization to 80 years.</w:t>
      </w:r>
      <w:r>
        <w:rPr>
          <w:rFonts w:ascii="Arial" w:cs="Arial" w:eastAsia="Arial" w:hAnsi="Arial"/>
          <w:color w:val="1B2A4A"/>
          <w:sz w:val="16"/>
          <w:szCs w:val="16"/>
          <w:vertAlign w:val="superscript"/>
        </w:rPr>
        <w:t xml:space="preserve">20</w:t>
      </w:r>
      <w:r>
        <w:rPr>
          <w:rFonts w:ascii="Arial" w:cs="Arial" w:eastAsia="Arial" w:hAnsi="Arial"/>
          <w:sz w:val="22"/>
          <w:szCs w:val="22"/>
        </w:rPr>
        <w:t xml:space="preserve"> Twenty-three additional units have planned SLR submissions through 2034.</w:t>
      </w:r>
      <w:r>
        <w:rPr>
          <w:rFonts w:ascii="Arial" w:cs="Arial" w:eastAsia="Arial" w:hAnsi="Arial"/>
          <w:color w:val="1B2A4A"/>
          <w:sz w:val="16"/>
          <w:szCs w:val="16"/>
          <w:vertAlign w:val="superscript"/>
        </w:rPr>
        <w:t xml:space="preserve">20</w:t>
      </w:r>
      <w:r>
        <w:rPr>
          <w:rFonts w:ascii="Arial" w:cs="Arial" w:eastAsia="Arial" w:hAnsi="Arial"/>
          <w:sz w:val="22"/>
          <w:szCs w:val="22"/>
        </w:rPr>
        <w:t xml:space="preserve"> On any near-term planning horizon, license extension remains the largest and most reliable nuclear capacity preservation tool available.</w:t>
      </w:r>
    </w:p>
    <w:p>
      <w:pPr>
        <w:spacing w:after="200" w:before="0" w:line="276"/>
      </w:pPr>
      <w:r>
        <w:rPr>
          <w:rFonts w:ascii="Arial" w:cs="Arial" w:eastAsia="Arial" w:hAnsi="Arial"/>
          <w:sz w:val="22"/>
          <w:szCs w:val="22"/>
        </w:rPr>
        <w:t xml:space="preserve">Plant restarts represent the fastest path to additional firm capacity. Palisades (800 MW) received NRC approval to return to operational status in July 2025 with a $1.52 billion DOE loan.</w:t>
      </w:r>
      <w:r>
        <w:rPr>
          <w:rFonts w:ascii="Arial" w:cs="Arial" w:eastAsia="Arial" w:hAnsi="Arial"/>
          <w:color w:val="1B2A4A"/>
          <w:sz w:val="16"/>
          <w:szCs w:val="16"/>
          <w:vertAlign w:val="superscript"/>
        </w:rPr>
        <w:t xml:space="preserve">21</w:t>
      </w:r>
      <w:r>
        <w:rPr>
          <w:rFonts w:ascii="Arial" w:cs="Arial" w:eastAsia="Arial" w:hAnsi="Arial"/>
          <w:sz w:val="22"/>
          <w:szCs w:val="22"/>
        </w:rPr>
        <w:t xml:space="preserve"> Three Mile Island Unit 1 (835 MW) secured a $1 billion DOE conditional commitment with restart accelerated to 2027.</w:t>
      </w:r>
      <w:r>
        <w:rPr>
          <w:rFonts w:ascii="Arial" w:cs="Arial" w:eastAsia="Arial" w:hAnsi="Arial"/>
          <w:color w:val="1B2A4A"/>
          <w:sz w:val="16"/>
          <w:szCs w:val="16"/>
          <w:vertAlign w:val="superscript"/>
        </w:rPr>
        <w:t xml:space="preserve">22</w:t>
      </w:r>
      <w:r>
        <w:rPr>
          <w:rFonts w:ascii="Arial" w:cs="Arial" w:eastAsia="Arial" w:hAnsi="Arial"/>
          <w:sz w:val="22"/>
          <w:szCs w:val="22"/>
        </w:rPr>
        <w:t xml:space="preserve"> Together, these could restore more than 1.6 GW if current restart and review timelines hold.</w:t>
      </w:r>
    </w:p>
    <w:p>
      <w:pPr>
        <w:spacing w:after="200" w:before="0" w:line="276"/>
      </w:pPr>
      <w:r>
        <w:rPr>
          <w:rFonts w:ascii="Arial" w:cs="Arial" w:eastAsia="Arial" w:hAnsi="Arial"/>
          <w:b/>
          <w:bCs/>
          <w:sz w:val="22"/>
          <w:szCs w:val="22"/>
        </w:rPr>
        <w:t xml:space="preserve">Policy implication: </w:t>
      </w:r>
      <w:r>
        <w:rPr>
          <w:rFonts w:ascii="Arial" w:cs="Arial" w:eastAsia="Arial" w:hAnsi="Arial"/>
          <w:sz w:val="22"/>
          <w:szCs w:val="22"/>
        </w:rPr>
        <w:t xml:space="preserve">Tier 1 actions—fleet preservation, SLR, uprates, and restarts—appear to offer the strongest near-term nuclear capacity preservation and restoration pathway.</w:t>
      </w:r>
    </w:p>
    <w:p>
      <w:pPr>
        <w:pStyle w:val="Heading2"/>
        <w:spacing w:after="180" w:before="280"/>
      </w:pPr>
      <w:r>
        <w:rPr>
          <w:rFonts w:ascii="Arial" w:cs="Arial" w:eastAsia="Arial" w:hAnsi="Arial"/>
          <w:b/>
          <w:bCs/>
          <w:color w:val="1B2A4A"/>
          <w:sz w:val="26"/>
          <w:szCs w:val="26"/>
        </w:rPr>
        <w:t xml:space="preserve">Tier 2 — Near-Term Executable: Brownfield Builds, Large Reactor Replication, and Co-Location</w:t>
      </w:r>
    </w:p>
    <w:p>
      <w:pPr>
        <w:spacing w:after="200" w:before="0" w:line="276"/>
      </w:pPr>
      <w:r>
        <w:rPr>
          <w:rFonts w:ascii="Arial" w:cs="Arial" w:eastAsia="Arial" w:hAnsi="Arial"/>
          <w:sz w:val="22"/>
          <w:szCs w:val="22"/>
        </w:rPr>
        <w:t>Vogtle Units 3 and 4 came online in 2023–2024 at a total cost of approximately $30–$35 billion, roughly seven years behind schedule.23 The policy lesson extends beyond cost: Vogtle demonstrated that large nuclear projects require design maturity, workforce continuity, financing structures that reduce first-of-a-kind disruption, regulatory predictability during construction (NRC issued multiple license amendments mid-build), and the risks of fixed-price EPC contracts for nuclear—Westinghouse’s bankruptcy during construction forced a fundamental restructuring of project delivery. These factors are not unique to Vogtle but define the risk profile for any large reactor project. INL analysis models a fourth U.S. AP1000 at approximately $6,200/kW with a 5.5-year build and a projected LCOE as low as $50/MWh with the 40% ITC.24</w:t>
      </w:r>
      <w:r>
        <w:rPr>
          <w:rFonts w:ascii="Arial" w:cs="Arial" w:eastAsia="Arial" w:hAnsi="Arial"/>
          <w:color w:val="1B2A4A"/>
          <w:sz w:val="16"/>
          <w:szCs w:val="16"/>
          <w:vertAlign w:val="superscript"/>
        </w:rPr>
      </w:r>
      <w:r>
        <w:rPr>
          <w:rFonts w:ascii="Arial" w:cs="Arial" w:eastAsia="Arial" w:hAnsi="Arial"/>
          <w:sz w:val="22"/>
          <w:szCs w:val="22"/>
        </w:rPr>
      </w:r>
      <w:r>
        <w:rPr>
          <w:rFonts w:ascii="Arial" w:cs="Arial" w:eastAsia="Arial" w:hAnsi="Arial"/>
          <w:color w:val="1B2A4A"/>
          <w:sz w:val="16"/>
          <w:szCs w:val="16"/>
          <w:vertAlign w:val="superscript"/>
        </w:rPr>
      </w:r>
    </w:p>
    <w:p>
      <w:pPr>
        <w:spacing w:after="200" w:before="0" w:line="276"/>
      </w:pPr>
      <w:r>
        <w:rPr>
          <w:rFonts w:ascii="Arial" w:cs="Arial" w:eastAsia="Arial" w:hAnsi="Arial"/>
          <w:sz w:val="22"/>
          <w:szCs w:val="22"/>
        </w:rPr>
        <w:t xml:space="preserve">Co-location of nuclear with large industrial loads is emerging as a deployment model. Microsoft announced a 20-year PPA with Constellation Energy for the TMI-1 restart.</w:t>
      </w:r>
      <w:r>
        <w:rPr>
          <w:rFonts w:ascii="Arial" w:cs="Arial" w:eastAsia="Arial" w:hAnsi="Arial"/>
          <w:color w:val="1B2A4A"/>
          <w:sz w:val="16"/>
          <w:szCs w:val="16"/>
          <w:vertAlign w:val="superscript"/>
        </w:rPr>
        <w:t xml:space="preserve">22</w:t>
      </w:r>
      <w:r>
        <w:rPr>
          <w:rFonts w:ascii="Arial" w:cs="Arial" w:eastAsia="Arial" w:hAnsi="Arial"/>
          <w:sz w:val="22"/>
          <w:szCs w:val="22"/>
        </w:rPr>
        <w:t xml:space="preserve"> Amazon announced a 1,920 MW PPA with Talen Energy’s Susquehanna plant.</w:t>
      </w:r>
      <w:r>
        <w:rPr>
          <w:rFonts w:ascii="Arial" w:cs="Arial" w:eastAsia="Arial" w:hAnsi="Arial"/>
          <w:color w:val="1B2A4A"/>
          <w:sz w:val="16"/>
          <w:szCs w:val="16"/>
          <w:vertAlign w:val="superscript"/>
        </w:rPr>
        <w:t xml:space="preserve">25</w:t>
      </w:r>
      <w:r>
        <w:rPr>
          <w:rFonts w:ascii="Arial" w:cs="Arial" w:eastAsia="Arial" w:hAnsi="Arial"/>
          <w:sz w:val="22"/>
          <w:szCs w:val="22"/>
        </w:rPr>
        <w:t xml:space="preserve"> Meta announced deals totaling up to 6.6 GW across Vistra, TerraPower, and Oklo.</w:t>
      </w:r>
      <w:r>
        <w:rPr>
          <w:rFonts w:ascii="Arial" w:cs="Arial" w:eastAsia="Arial" w:hAnsi="Arial"/>
          <w:color w:val="1B2A4A"/>
          <w:sz w:val="16"/>
          <w:szCs w:val="16"/>
          <w:vertAlign w:val="superscript"/>
        </w:rPr>
        <w:t xml:space="preserve">26</w:t>
      </w:r>
      <w:r>
        <w:rPr>
          <w:rFonts w:ascii="Arial" w:cs="Arial" w:eastAsia="Arial" w:hAnsi="Arial"/>
          <w:sz w:val="22"/>
          <w:szCs w:val="22"/>
        </w:rPr>
        <w:t xml:space="preserve"> These arrangements may partially bypass transmission constraints but face regulatory uncertainty, as FERC’s rejection of Amazon’s initial behind-the-meter arrangement demonstrated.</w:t>
      </w:r>
      <w:r>
        <w:rPr>
          <w:rFonts w:ascii="Arial" w:cs="Arial" w:eastAsia="Arial" w:hAnsi="Arial"/>
          <w:color w:val="1B2A4A"/>
          <w:sz w:val="16"/>
          <w:szCs w:val="16"/>
          <w:vertAlign w:val="superscript"/>
        </w:rPr>
        <w:t xml:space="preserve">27</w:t>
      </w:r>
    </w:p>
    <w:p>
      <w:pPr>
        <w:spacing w:after="200" w:before="0" w:line="276"/>
      </w:pPr>
      <w:r>
        <w:rPr>
          <w:rFonts w:ascii="Arial" w:cs="Arial" w:eastAsia="Arial" w:hAnsi="Arial"/>
          <w:b/>
          <w:bCs/>
          <w:sz w:val="22"/>
          <w:szCs w:val="22"/>
        </w:rPr>
        <w:t>However, the regulatory viability of behind-the-meter co-location remains uncertain. FERC rejected the Susquehanna/Talen-Amazon interconnection service agreement amendment in November 2024 (Docket ER24-2316), citing concerns about grid reliability impacts and cost shifting to other ratepayers. This ruling signals that FERC will scrutinize arrangements that effectively remove generation from the grid to serve a single customer. Policy implication: Tier 2 pathways appear more executable on a 3–7 year horizon than greenfield builds, but delivery remains contingent on permitting, financing, transmission access, and workforce availability.</w:t>
      </w:r>
      <w:r>
        <w:rPr>
          <w:rFonts w:ascii="Arial" w:cs="Arial" w:eastAsia="Arial" w:hAnsi="Arial"/>
          <w:sz w:val="22"/>
          <w:szCs w:val="22"/>
        </w:rPr>
      </w:r>
    </w:p>
    <w:p>
      <w:pPr>
        <w:pStyle w:val="Heading2"/>
        <w:spacing w:after="180" w:before="280"/>
      </w:pPr>
      <w:r>
        <w:rPr>
          <w:rFonts w:ascii="Arial" w:cs="Arial" w:eastAsia="Arial" w:hAnsi="Arial"/>
          <w:b/>
          <w:bCs/>
          <w:color w:val="1B2A4A"/>
          <w:sz w:val="26"/>
          <w:szCs w:val="26"/>
        </w:rPr>
        <w:t xml:space="preserve">Tier 3 — Execution-Dependent: SMRs, Advanced Reactors, and Microreactors</w:t>
      </w:r>
    </w:p>
    <w:p>
      <w:pPr>
        <w:spacing w:after="200" w:before="0" w:line="276"/>
      </w:pPr>
      <w:r>
        <w:rPr>
          <w:rFonts w:ascii="Arial" w:cs="Arial" w:eastAsia="Arial" w:hAnsi="Arial"/>
          <w:sz w:val="22"/>
          <w:szCs w:val="22"/>
        </w:rPr>
        <w:t xml:space="preserve">Multiple advanced reactor projects are progressing through the NRC: TerraPower received an NRC construction permit for Natrium in early 2026 (commercial operation approximately 2031).</w:t>
      </w:r>
      <w:r>
        <w:rPr>
          <w:rFonts w:ascii="Arial" w:cs="Arial" w:eastAsia="Arial" w:hAnsi="Arial"/>
          <w:color w:val="1B2A4A"/>
          <w:sz w:val="16"/>
          <w:szCs w:val="16"/>
          <w:vertAlign w:val="superscript"/>
        </w:rPr>
        <w:t xml:space="preserve">28</w:t>
      </w:r>
      <w:r>
        <w:rPr>
          <w:rFonts w:ascii="Arial" w:cs="Arial" w:eastAsia="Arial" w:hAnsi="Arial"/>
          <w:sz w:val="22"/>
          <w:szCs w:val="22"/>
        </w:rPr>
        <w:t xml:space="preserve"> TVA submitted a construction permit application for the BWRX-300 at Clinch River (commercial operation possible by 2033).</w:t>
      </w:r>
      <w:r>
        <w:rPr>
          <w:rFonts w:ascii="Arial" w:cs="Arial" w:eastAsia="Arial" w:hAnsi="Arial"/>
          <w:color w:val="1B2A4A"/>
          <w:sz w:val="16"/>
          <w:szCs w:val="16"/>
          <w:vertAlign w:val="superscript"/>
        </w:rPr>
        <w:t xml:space="preserve">29</w:t>
      </w:r>
      <w:r>
        <w:rPr>
          <w:rFonts w:ascii="Arial" w:cs="Arial" w:eastAsia="Arial" w:hAnsi="Arial"/>
          <w:sz w:val="22"/>
          <w:szCs w:val="22"/>
        </w:rPr>
        <w:t xml:space="preserve"> X-energy’s Xe-100 application was accepted by NRC in May 2025.</w:t>
      </w:r>
      <w:r>
        <w:rPr>
          <w:rFonts w:ascii="Arial" w:cs="Arial" w:eastAsia="Arial" w:hAnsi="Arial"/>
          <w:color w:val="1B2A4A"/>
          <w:sz w:val="16"/>
          <w:szCs w:val="16"/>
          <w:vertAlign w:val="superscript"/>
        </w:rPr>
        <w:t xml:space="preserve">30</w:t>
      </w:r>
      <w:r>
        <w:rPr>
          <w:rFonts w:ascii="Arial" w:cs="Arial" w:eastAsia="Arial" w:hAnsi="Arial"/>
          <w:sz w:val="22"/>
          <w:szCs w:val="22"/>
        </w:rPr>
        <w:t xml:space="preserve"> Kairos Power received an NRC construction permit for Hermes 2 in November 2024 (operations targeted for 2030).</w:t>
      </w:r>
      <w:r>
        <w:rPr>
          <w:rFonts w:ascii="Arial" w:cs="Arial" w:eastAsia="Arial" w:hAnsi="Arial"/>
          <w:color w:val="1B2A4A"/>
          <w:sz w:val="16"/>
          <w:szCs w:val="16"/>
          <w:vertAlign w:val="superscript"/>
        </w:rPr>
        <w:t xml:space="preserve">31</w:t>
      </w:r>
    </w:p>
    <w:p>
      <w:pPr>
        <w:spacing w:after="200" w:before="0" w:line="276"/>
      </w:pPr>
      <w:r>
        <w:rPr>
          <w:rFonts w:ascii="Arial" w:cs="Arial" w:eastAsia="Arial" w:hAnsi="Arial"/>
          <w:sz w:val="22"/>
          <w:szCs w:val="22"/>
        </w:rPr>
        <w:t xml:space="preserve">Recent first-of-a-kind advanced-reactor projects have exceeded early public cost expectations. The NuScale UAMPS project was cancelled after costs rose from $55/MWh to $89/MWh.</w:t>
      </w:r>
      <w:r>
        <w:rPr>
          <w:rFonts w:ascii="Arial" w:cs="Arial" w:eastAsia="Arial" w:hAnsi="Arial"/>
          <w:color w:val="1B2A4A"/>
          <w:sz w:val="16"/>
          <w:szCs w:val="16"/>
          <w:vertAlign w:val="superscript"/>
        </w:rPr>
        <w:t xml:space="preserve">32</w:t>
      </w:r>
      <w:r>
        <w:rPr>
          <w:rFonts w:ascii="Arial" w:cs="Arial" w:eastAsia="Arial" w:hAnsi="Arial"/>
          <w:sz w:val="22"/>
          <w:szCs w:val="22"/>
        </w:rPr>
        <w:t xml:space="preserve"> The BWRX-300’s first unit at Darlington will cost approximately CAD $6.1 billion.</w:t>
      </w:r>
      <w:r>
        <w:rPr>
          <w:rFonts w:ascii="Arial" w:cs="Arial" w:eastAsia="Arial" w:hAnsi="Arial"/>
          <w:color w:val="1B2A4A"/>
          <w:sz w:val="16"/>
          <w:szCs w:val="16"/>
          <w:vertAlign w:val="superscript"/>
        </w:rPr>
        <w:t xml:space="preserve">33</w:t>
      </w:r>
      <w:r>
        <w:rPr>
          <w:rFonts w:ascii="Arial" w:cs="Arial" w:eastAsia="Arial" w:hAnsi="Arial"/>
          <w:sz w:val="22"/>
          <w:szCs w:val="22"/>
        </w:rPr>
        <w:t xml:space="preserve"> TerraPower’s Natrium demonstration is estimated at roughly $4 billion.</w:t>
      </w:r>
      <w:r>
        <w:rPr>
          <w:rFonts w:ascii="Arial" w:cs="Arial" w:eastAsia="Arial" w:hAnsi="Arial"/>
          <w:color w:val="1B2A4A"/>
          <w:sz w:val="16"/>
          <w:szCs w:val="16"/>
          <w:vertAlign w:val="superscript"/>
        </w:rPr>
        <w:t xml:space="preserve">34</w:t>
      </w:r>
      <w:r>
        <w:rPr>
          <w:rFonts w:ascii="Arial" w:cs="Arial" w:eastAsia="Arial" w:hAnsi="Arial"/>
          <w:sz w:val="22"/>
          <w:szCs w:val="22"/>
        </w:rPr>
        <w:t xml:space="preserve"> Projected learning-curve reductions are frequently cited, but remain empirically unvalidated in the U.S. deployment context.</w:t>
      </w:r>
    </w:p>
    <w:p>
      <w:pPr>
        <w:spacing w:after="200" w:before="0" w:line="276"/>
      </w:pPr>
      <w:r>
        <w:rPr>
          <w:rFonts w:ascii="Arial" w:cs="Arial" w:eastAsia="Arial" w:hAnsi="Arial"/>
          <w:b/>
          <w:bCs/>
          <w:sz w:val="22"/>
          <w:szCs w:val="22"/>
        </w:rPr>
        <w:t xml:space="preserve">Tier 3 technologies remain commercially unproven at scale and should be treated as execution-dependent rather than assumed capacity additions.</w:t>
      </w:r>
    </w:p>
    <w:p>
      <w:pPr>
        <w:spacing w:after="200" w:before="0" w:line="276"/>
      </w:pPr>
      <w:r>
        <w:rPr>
          <w:rFonts w:ascii="Arial" w:cs="Arial" w:eastAsia="Arial" w:hAnsi="Arial"/>
          <w:sz w:val="22"/>
          <w:szCs w:val="22"/>
        </w:rPr>
      </w:r>
    </w:p>
    <w:p>
      <w:pPr>
        <w:spacing w:after="200" w:before="0" w:line="276"/>
      </w:pPr>
      <w:r>
        <w:rPr>
          <w:rFonts w:ascii="Arial" w:cs="Arial" w:eastAsia="Arial" w:hAnsi="Arial"/>
          <w:sz w:val="22"/>
          <w:szCs w:val="22"/>
        </w:rPr>
        <w:t xml:space="preserve">Military microreactors (Project Pele, Oklo Aurora at Eielson AFB, Army Janus Program) are progressing toward 2028–2030 timelines.</w:t>
      </w:r>
      <w:r>
        <w:rPr>
          <w:rFonts w:ascii="Arial" w:cs="Arial" w:eastAsia="Arial" w:hAnsi="Arial"/>
          <w:color w:val="1B2A4A"/>
          <w:sz w:val="16"/>
          <w:szCs w:val="16"/>
          <w:vertAlign w:val="superscript"/>
        </w:rPr>
        <w:t xml:space="preserve">35</w:t>
      </w:r>
      <w:r>
        <w:rPr>
          <w:rFonts w:ascii="Arial" w:cs="Arial" w:eastAsia="Arial" w:hAnsi="Arial"/>
          <w:sz w:val="22"/>
          <w:szCs w:val="22"/>
        </w:rPr>
        <w:t xml:space="preserve"> Their value lies primarily in procurement experience, resilience, and fuel assurance rather than bulk-grid contribution.</w:t>
      </w:r>
    </w:p>
    <w:p>
      <w:pPr>
        <w:spacing w:after="200" w:before="0" w:line="276"/>
      </w:pPr>
      <w:r>
        <w:rPr>
          <w:rFonts w:ascii="Arial" w:cs="Arial" w:eastAsia="Arial" w:hAnsi="Arial"/>
          <w:b/>
          <w:bCs/>
          <w:sz w:val="22"/>
          <w:szCs w:val="22"/>
        </w:rPr>
        <w:t xml:space="preserve">Policy implication: </w:t>
      </w:r>
      <w:r>
        <w:rPr>
          <w:rFonts w:ascii="Arial" w:cs="Arial" w:eastAsia="Arial" w:hAnsi="Arial"/>
          <w:sz w:val="22"/>
          <w:szCs w:val="22"/>
        </w:rPr>
        <w:t xml:space="preserve">Tier 3 deployment should be supported selectively, with discipline around fuel availability, cost, schedule, and repeatability. It should not be conflated with the proven track record of the existing fleet.</w:t>
      </w:r>
    </w:p>
    <w:p>
      <w:r>
        <w:br w:type="page"/>
      </w:r>
    </w:p>
    <w:p>
      <w:pPr>
        <w:pStyle w:val="Heading1"/>
        <w:spacing w:after="240" w:before="360"/>
      </w:pPr>
      <w:r>
        <w:rPr>
          <w:rFonts w:ascii="Arial" w:cs="Arial" w:eastAsia="Arial" w:hAnsi="Arial"/>
          <w:b/>
          <w:bCs/>
          <w:color w:val="1B2A4A"/>
          <w:sz w:val="32"/>
          <w:szCs w:val="32"/>
        </w:rPr>
        <w:t xml:space="preserve">Section III — What Nuclear Cannot Deliver</w:t>
      </w:r>
    </w:p>
    <w:p>
      <w:pPr>
        <w:spacing w:after="200" w:before="0" w:line="276"/>
      </w:pPr>
      <w:r>
        <w:rPr>
          <w:rFonts w:ascii="Arial" w:cs="Arial" w:eastAsia="Arial" w:hAnsi="Arial"/>
          <w:sz w:val="22"/>
          <w:szCs w:val="22"/>
        </w:rPr>
        <w:t xml:space="preserve">A credible policy paper identifies not only what a technology can contribute but also where its limitations lie. Overstating nuclear’s near-term capability undermines the credibility of the broader case. The following constraints are not arguments against nuclear expansion; they are boundaries within which policy should operate.</w:t>
      </w:r>
    </w:p>
    <w:p>
      <w:pPr>
        <w:pStyle w:val="Heading2"/>
        <w:spacing w:after="180" w:before="280"/>
      </w:pPr>
      <w:r>
        <w:rPr>
          <w:rFonts w:ascii="Arial" w:cs="Arial" w:eastAsia="Arial" w:hAnsi="Arial"/>
          <w:b/>
          <w:bCs/>
          <w:color w:val="1B2A4A"/>
          <w:sz w:val="26"/>
          <w:szCs w:val="26"/>
        </w:rPr>
        <w:t xml:space="preserve">Nuclear Cannot Replace Natural Gas in the Near Term</w:t>
      </w:r>
    </w:p>
    <w:p>
      <w:pPr>
        <w:spacing w:after="200" w:before="0" w:line="276"/>
      </w:pPr>
      <w:r>
        <w:rPr>
          <w:rFonts w:ascii="Arial" w:cs="Arial" w:eastAsia="Arial" w:hAnsi="Arial"/>
          <w:sz w:val="22"/>
          <w:szCs w:val="22"/>
        </w:rPr>
        <w:t xml:space="preserve">The evidence does not support near-term substitution of natural gas with nuclear generation at scale. Natural gas provided approximately 43% of U.S. electricity in 2024 and serves as the dominant marginal and load-following resource across most ISO/RTO markets.</w:t>
      </w:r>
      <w:r>
        <w:rPr>
          <w:rFonts w:ascii="Arial" w:cs="Arial" w:eastAsia="Arial" w:hAnsi="Arial"/>
          <w:color w:val="1B2A4A"/>
          <w:sz w:val="16"/>
          <w:szCs w:val="16"/>
          <w:vertAlign w:val="superscript"/>
        </w:rPr>
        <w:t xml:space="preserve">3</w:t>
      </w:r>
      <w:r>
        <w:rPr>
          <w:rFonts w:ascii="Arial" w:cs="Arial" w:eastAsia="Arial" w:hAnsi="Arial"/>
          <w:sz w:val="22"/>
          <w:szCs w:val="22"/>
        </w:rPr>
        <w:t xml:space="preserve"> Replacing even a fraction of the existing U.S. gas-fired fleet would require decades of sustained construction at rates the U.S. has never achieved.</w:t>
      </w:r>
      <w:r>
        <w:rPr>
          <w:rFonts w:ascii="Arial" w:cs="Arial" w:eastAsia="Arial" w:hAnsi="Arial"/>
          <w:color w:val="1B2A4A"/>
          <w:sz w:val="16"/>
          <w:szCs w:val="16"/>
          <w:vertAlign w:val="superscript"/>
        </w:rPr>
        <w:t xml:space="preserve">1</w:t>
      </w:r>
      <w:r>
        <w:rPr>
          <w:rFonts w:ascii="Arial" w:cs="Arial" w:eastAsia="Arial" w:hAnsi="Arial"/>
          <w:sz w:val="22"/>
          <w:szCs w:val="22"/>
        </w:rPr>
        <w:t xml:space="preserve"> Nuclear’s role is additive—expanding firm clean baseload—not displacing the gas fleet.</w:t>
      </w:r>
    </w:p>
    <w:p>
      <w:pPr>
        <w:spacing w:after="200" w:before="0" w:line="276"/>
      </w:pPr>
      <w:r>
        <w:rPr>
          <w:rFonts w:ascii="Arial" w:cs="Arial" w:eastAsia="Arial" w:hAnsi="Arial"/>
          <w:b/>
          <w:bCs/>
          <w:sz w:val="22"/>
          <w:szCs w:val="22"/>
        </w:rPr>
        <w:t xml:space="preserve">Policy implication: </w:t>
      </w:r>
      <w:r>
        <w:rPr>
          <w:rFonts w:ascii="Arial" w:cs="Arial" w:eastAsia="Arial" w:hAnsi="Arial"/>
          <w:sz w:val="22"/>
          <w:szCs w:val="22"/>
        </w:rPr>
        <w:t xml:space="preserve">Energy policy should not be framed as nuclear versus gas. Both serve distinct system functions. Nuclear expansion reduces the marginal emissions and reliability risk of the overall system without eliminating gas’s near-term operational role.</w:t>
      </w:r>
    </w:p>
    <w:p>
      <w:pPr>
        <w:pStyle w:val="Heading2"/>
        <w:spacing w:after="180" w:before="280"/>
      </w:pPr>
      <w:r>
        <w:rPr>
          <w:rFonts w:ascii="Arial" w:cs="Arial" w:eastAsia="Arial" w:hAnsi="Arial"/>
          <w:b/>
          <w:bCs/>
          <w:color w:val="1B2A4A"/>
          <w:sz w:val="26"/>
          <w:szCs w:val="26"/>
        </w:rPr>
        <w:t xml:space="preserve">Nuclear Cannot Scale Nationally Within 3–5 Years</w:t>
      </w:r>
    </w:p>
    <w:p>
      <w:pPr>
        <w:spacing w:after="200" w:before="0" w:line="276"/>
      </w:pPr>
      <w:r>
        <w:rPr>
          <w:rFonts w:ascii="Arial" w:cs="Arial" w:eastAsia="Arial" w:hAnsi="Arial"/>
          <w:sz w:val="22"/>
          <w:szCs w:val="22"/>
        </w:rPr>
        <w:t xml:space="preserve">No currently available nuclear technology can add meaningful new-build capacity to the U.S. grid within a 3–5 year horizon. NRC design certification has historically required multi-year review periods and very high applicant costs.</w:t>
      </w:r>
      <w:r>
        <w:rPr>
          <w:rFonts w:ascii="Arial" w:cs="Arial" w:eastAsia="Arial" w:hAnsi="Arial"/>
          <w:color w:val="1B2A4A"/>
          <w:sz w:val="16"/>
          <w:szCs w:val="16"/>
          <w:vertAlign w:val="superscript"/>
        </w:rPr>
        <w:t xml:space="preserve">36</w:t>
      </w:r>
      <w:r>
        <w:rPr>
          <w:rFonts w:ascii="Arial" w:cs="Arial" w:eastAsia="Arial" w:hAnsi="Arial"/>
          <w:sz w:val="22"/>
          <w:szCs w:val="22"/>
        </w:rPr>
        <w:t xml:space="preserve"> Construction of large reactors takes 5–7+ years, and the first SMR commercial operations are not expected before 2030–2031 at the earliest.</w:t>
      </w:r>
      <w:r>
        <w:rPr>
          <w:rFonts w:ascii="Arial" w:cs="Arial" w:eastAsia="Arial" w:hAnsi="Arial"/>
          <w:color w:val="1B2A4A"/>
          <w:sz w:val="16"/>
          <w:szCs w:val="16"/>
          <w:vertAlign w:val="superscript"/>
        </w:rPr>
        <w:t xml:space="preserve">28,31</w:t>
      </w:r>
      <w:r>
        <w:rPr>
          <w:rFonts w:ascii="Arial" w:cs="Arial" w:eastAsia="Arial" w:hAnsi="Arial"/>
          <w:sz w:val="22"/>
          <w:szCs w:val="22"/>
        </w:rPr>
        <w:t xml:space="preserve"> The only near-term additions are restarts (1–2 years) and uprates at existing plants.</w:t>
      </w:r>
    </w:p>
    <w:p>
      <w:pPr>
        <w:pStyle w:val="Heading2"/>
        <w:spacing w:after="180" w:before="280"/>
      </w:pPr>
      <w:r>
        <w:rPr>
          <w:rFonts w:ascii="Arial" w:cs="Arial" w:eastAsia="Arial" w:hAnsi="Arial"/>
          <w:b/>
          <w:bCs/>
          <w:color w:val="1B2A4A"/>
          <w:sz w:val="26"/>
          <w:szCs w:val="26"/>
        </w:rPr>
        <w:t xml:space="preserve">Nuclear Cannot Bypass Transmission Constraints</w:t>
      </w:r>
    </w:p>
    <w:p>
      <w:pPr>
        <w:spacing w:after="200" w:before="0" w:line="276"/>
      </w:pPr>
      <w:r>
        <w:rPr>
          <w:rFonts w:ascii="Arial" w:cs="Arial" w:eastAsia="Arial" w:hAnsi="Arial"/>
          <w:sz w:val="22"/>
          <w:szCs w:val="22"/>
        </w:rPr>
        <w:t xml:space="preserve">Nuclear expansion does not eliminate the need for transmission buildout or interconnection reform. New nuclear plants require grid interconnection through the same congested queue facing all generation projects.</w:t>
      </w:r>
      <w:r>
        <w:rPr>
          <w:rFonts w:ascii="Arial" w:cs="Arial" w:eastAsia="Arial" w:hAnsi="Arial"/>
          <w:color w:val="1B2A4A"/>
          <w:sz w:val="16"/>
          <w:szCs w:val="16"/>
          <w:vertAlign w:val="superscript"/>
        </w:rPr>
        <w:t xml:space="preserve">16</w:t>
      </w:r>
      <w:r>
        <w:rPr>
          <w:rFonts w:ascii="Arial" w:cs="Arial" w:eastAsia="Arial" w:hAnsi="Arial"/>
          <w:sz w:val="22"/>
          <w:szCs w:val="22"/>
        </w:rPr>
        <w:t xml:space="preserve"> Co-location may reduce some transmission dependency, but the regulatory framework is unsettled.</w:t>
      </w:r>
      <w:r>
        <w:rPr>
          <w:rFonts w:ascii="Arial" w:cs="Arial" w:eastAsia="Arial" w:hAnsi="Arial"/>
          <w:color w:val="1B2A4A"/>
          <w:sz w:val="16"/>
          <w:szCs w:val="16"/>
          <w:vertAlign w:val="superscript"/>
        </w:rPr>
        <w:t xml:space="preserve">27</w:t>
      </w:r>
    </w:p>
    <w:p>
      <w:pPr>
        <w:pStyle w:val="Heading2"/>
        <w:spacing w:after="180" w:before="280"/>
      </w:pPr>
      <w:r>
        <w:rPr>
          <w:rFonts w:ascii="Arial" w:cs="Arial" w:eastAsia="Arial" w:hAnsi="Arial"/>
          <w:b/>
          <w:bCs/>
          <w:color w:val="1B2A4A"/>
          <w:sz w:val="26"/>
          <w:szCs w:val="26"/>
        </w:rPr>
        <w:t xml:space="preserve">Nuclear Cannot Rely on Unvalidated SMR Economics</w:t>
      </w:r>
    </w:p>
    <w:p>
      <w:pPr>
        <w:spacing w:after="200" w:before="0" w:line="276"/>
      </w:pPr>
      <w:r>
        <w:rPr>
          <w:rFonts w:ascii="Arial" w:cs="Arial" w:eastAsia="Arial" w:hAnsi="Arial"/>
          <w:sz w:val="22"/>
          <w:szCs w:val="22"/>
        </w:rPr>
        <w:t xml:space="preserve">Recent first-of-a-kind SMR projects have exceeded their original public cost estimates.</w:t>
      </w:r>
      <w:r>
        <w:rPr>
          <w:rFonts w:ascii="Arial" w:cs="Arial" w:eastAsia="Arial" w:hAnsi="Arial"/>
          <w:color w:val="1B2A4A"/>
          <w:sz w:val="16"/>
          <w:szCs w:val="16"/>
          <w:vertAlign w:val="superscript"/>
        </w:rPr>
        <w:t xml:space="preserve">32,33,34</w:t>
      </w:r>
      <w:r>
        <w:rPr>
          <w:rFonts w:ascii="Arial" w:cs="Arial" w:eastAsia="Arial" w:hAnsi="Arial"/>
          <w:sz w:val="22"/>
          <w:szCs w:val="22"/>
        </w:rPr>
        <w:t xml:space="preserve"> Learning-curve benefits are theoretically well-grounded but empirically undemonstrated in the U.S. nuclear context. Policy should support SMR development but should not commit to capacity planning based on NOAK cost projections that have not yet been validated by actual construction experience.</w:t>
      </w:r>
    </w:p>
    <w:p>
      <w:pPr>
        <w:spacing w:after="200" w:before="0" w:line="276"/>
      </w:pPr>
      <w:r>
        <w:rPr>
          <w:rFonts w:ascii="Arial" w:cs="Arial" w:eastAsia="Arial" w:hAnsi="Arial"/>
          <w:b/>
          <w:bCs/>
          <w:sz w:val="22"/>
          <w:szCs w:val="22"/>
        </w:rPr>
        <w:t xml:space="preserve">Policy frameworks that assume rapid, large-scale nuclear substitution for natural gas are not operationally grounded and introduce planning risk.</w:t>
      </w:r>
    </w:p>
    <w:p>
      <w:pPr>
        <w:spacing w:after="200" w:line="276"/>
      </w:pPr>
      <w:r>
        <w:rPr>
          <w:rFonts w:ascii="Arial" w:hAnsi="Arial"/>
          <w:sz w:val="44"/>
          <w:szCs w:val="44"/>
          <w:color w:val="1B2A4A"/>
        </w:rPr>
        <w:t xml:space="preserve">These constraints—the inability to replace gas at scale, the multi-year minimum for new capacity, transmission dependencies, and unvalidated SMR economics—define the boundary conditions for the tier framework presented in Section II. Tier 1 actions (fleet preservation) operate within these constraints. Tier 2 actions (brownfield builds, replication) partially relax them through site reuse and design maturity. Tier 3 actions (advanced reactors) require most of these constraints to be resolved before they can contribute meaningfully. The tier framework is not an optimism gradient; it is a constraint-resolution sequence.</w:t>
      </w:r>
    </w:p>
    <w:p>
      <w:r>
        <w:br w:type="page"/>
      </w:r>
    </w:p>
    <w:p>
      <w:pPr>
        <w:pStyle w:val="Heading1"/>
        <w:spacing w:after="240" w:before="360"/>
      </w:pPr>
      <w:r>
        <w:rPr>
          <w:rFonts w:ascii="Arial" w:cs="Arial" w:eastAsia="Arial" w:hAnsi="Arial"/>
          <w:b/>
          <w:bCs/>
          <w:color w:val="1B2A4A"/>
          <w:sz w:val="32"/>
          <w:szCs w:val="32"/>
        </w:rPr>
        <w:t xml:space="preserve">Section IV — Nuclear’s Role in a Gas-Dominant Grid</w:t>
      </w:r>
    </w:p>
    <w:p>
      <w:pPr>
        <w:spacing w:after="200" w:before="0" w:line="276"/>
      </w:pPr>
      <w:r>
        <w:rPr>
          <w:rFonts w:ascii="Arial" w:cs="Arial" w:eastAsia="Arial" w:hAnsi="Arial"/>
          <w:sz w:val="22"/>
          <w:szCs w:val="22"/>
        </w:rPr>
        <w:t xml:space="preserve">Any nuclear expansion strategy operates within the context of a power system where natural gas is currently the dominant generation source. Defining system roles precisely is essential for credible policy design.</w:t>
      </w:r>
    </w:p>
    <w:p>
      <w:pPr>
        <w:pStyle w:val="Heading2"/>
        <w:spacing w:after="180" w:before="280"/>
      </w:pPr>
      <w:r>
        <w:rPr>
          <w:rFonts w:ascii="Arial" w:cs="Arial" w:eastAsia="Arial" w:hAnsi="Arial"/>
          <w:b/>
          <w:bCs/>
          <w:color w:val="1B2A4A"/>
          <w:sz w:val="26"/>
          <w:szCs w:val="26"/>
        </w:rPr>
        <w:t xml:space="preserve">System Role Definitions</w:t>
      </w:r>
    </w:p>
    <w:p>
      <w:pPr>
        <w:spacing w:after="200" w:before="0" w:line="276"/>
      </w:pPr>
      <w:r>
        <w:rPr>
          <w:rFonts w:ascii="Arial" w:cs="Arial" w:eastAsia="Arial" w:hAnsi="Arial"/>
          <w:b/>
          <w:bCs/>
          <w:sz w:val="22"/>
          <w:szCs w:val="22"/>
        </w:rPr>
        <w:t>Nuclear: firm clean backbone generation. Operates above 90% capacity factor, provides baseload output, system inertia, voltage control, and frequency response. On-site fuel storage eliminates weather and pipeline exposure. Currently the existing fleet, producing roughly 18% of U.S. electricity.1,3</w:t>
      </w:r>
      <w:r>
        <w:rPr>
          <w:rFonts w:ascii="Arial" w:cs="Arial" w:eastAsia="Arial" w:hAnsi="Arial"/>
          <w:sz w:val="22"/>
          <w:szCs w:val="22"/>
        </w:rPr>
      </w:r>
      <w:r>
        <w:rPr>
          <w:rFonts w:ascii="Arial" w:cs="Arial" w:eastAsia="Arial" w:hAnsi="Arial"/>
          <w:color w:val="1B2A4A"/>
          <w:sz w:val="16"/>
          <w:szCs w:val="16"/>
          <w:vertAlign w:val="superscript"/>
        </w:rPr>
      </w:r>
    </w:p>
    <w:p>
      <w:pPr>
        <w:spacing w:after="200" w:before="0" w:line="276"/>
      </w:pPr>
      <w:r>
        <w:rPr>
          <w:rFonts w:ascii="Arial" w:cs="Arial" w:eastAsia="Arial" w:hAnsi="Arial"/>
          <w:b/>
          <w:bCs/>
          <w:sz w:val="22"/>
          <w:szCs w:val="22"/>
        </w:rPr>
        <w:t>Natural gas: flexible marginal and load-following resource. Currently the dominant U.S. generation source by output.3 Serves as the dominant dispatchable resource across ISO/RTO markets. Subject to fuel-price volatility, pipeline vulnerability, and emissions intensity, but operationally essential for load following, peaking, and system flexibility.</w:t>
      </w:r>
      <w:r>
        <w:rPr>
          <w:rFonts w:ascii="Arial" w:cs="Arial" w:eastAsia="Arial" w:hAnsi="Arial"/>
          <w:sz w:val="22"/>
          <w:szCs w:val="22"/>
        </w:rPr>
      </w:r>
      <w:r>
        <w:rPr>
          <w:rFonts w:ascii="Arial" w:cs="Arial" w:eastAsia="Arial" w:hAnsi="Arial"/>
          <w:color w:val="1B2A4A"/>
          <w:sz w:val="16"/>
          <w:szCs w:val="16"/>
          <w:vertAlign w:val="superscript"/>
        </w:rPr>
      </w:r>
      <w:r>
        <w:rPr>
          <w:rFonts w:ascii="Arial" w:cs="Arial" w:eastAsia="Arial" w:hAnsi="Arial"/>
          <w:sz w:val="22"/>
          <w:szCs w:val="22"/>
        </w:rPr>
      </w:r>
    </w:p>
    <w:p>
      <w:pPr>
        <w:spacing w:after="200" w:before="0" w:line="276"/>
      </w:pPr>
      <w:r>
        <w:rPr>
          <w:rFonts w:ascii="Arial" w:cs="Arial" w:eastAsia="Arial" w:hAnsi="Arial"/>
          <w:b/>
          <w:bCs/>
          <w:sz w:val="22"/>
          <w:szCs w:val="22"/>
        </w:rPr>
        <w:t xml:space="preserve">Renewables (wind and solar): </w:t>
      </w:r>
      <w:r>
        <w:rPr>
          <w:rFonts w:ascii="Arial" w:cs="Arial" w:eastAsia="Arial" w:hAnsi="Arial"/>
          <w:sz w:val="22"/>
          <w:szCs w:val="22"/>
        </w:rPr>
        <w:t xml:space="preserve">variable supply. Capacity factors of approximately 34% (wind) and 23% (solar).</w:t>
      </w:r>
      <w:r>
        <w:rPr>
          <w:rFonts w:ascii="Arial" w:cs="Arial" w:eastAsia="Arial" w:hAnsi="Arial"/>
          <w:color w:val="1B2A4A"/>
          <w:sz w:val="16"/>
          <w:szCs w:val="16"/>
          <w:vertAlign w:val="superscript"/>
        </w:rPr>
        <w:t xml:space="preserve">37</w:t>
      </w:r>
      <w:r>
        <w:rPr>
          <w:rFonts w:ascii="Arial" w:cs="Arial" w:eastAsia="Arial" w:hAnsi="Arial"/>
          <w:sz w:val="22"/>
          <w:szCs w:val="22"/>
        </w:rPr>
        <w:t xml:space="preserve"> Require firm backup, storage, or curtailment management at high penetration levels.</w:t>
      </w:r>
    </w:p>
    <w:p>
      <w:pPr>
        <w:spacing w:after="200" w:before="0" w:line="276"/>
      </w:pPr>
      <w:r>
        <w:rPr>
          <w:rFonts w:ascii="Arial" w:cs="Arial" w:eastAsia="Arial" w:hAnsi="Arial"/>
          <w:b/>
          <w:bCs/>
          <w:sz w:val="22"/>
          <w:szCs w:val="22"/>
        </w:rPr>
        <w:t xml:space="preserve">Battery storage: </w:t>
      </w:r>
      <w:r>
        <w:rPr>
          <w:rFonts w:ascii="Arial" w:cs="Arial" w:eastAsia="Arial" w:hAnsi="Arial"/>
          <w:sz w:val="22"/>
          <w:szCs w:val="22"/>
        </w:rPr>
        <w:t xml:space="preserve">short-duration balancing. Current deployments do not provide firm generation during multi-day weather events or prolonged supply disruptions.</w:t>
      </w:r>
      <w:r>
        <w:rPr>
          <w:rFonts w:ascii="Arial" w:cs="Arial" w:eastAsia="Arial" w:hAnsi="Arial"/>
          <w:color w:val="1B2A4A"/>
          <w:sz w:val="16"/>
          <w:szCs w:val="16"/>
          <w:vertAlign w:val="superscript"/>
        </w:rPr>
        <w:t xml:space="preserve">2</w:t>
      </w:r>
    </w:p>
    <w:p>
      <w:pPr>
        <w:spacing w:after="200" w:before="0" w:line="276"/>
      </w:pPr>
      <w:r>
        <w:rPr>
          <w:rFonts w:ascii="Arial" w:cs="Arial" w:eastAsia="Arial" w:hAnsi="Arial"/>
          <w:b/>
          <w:bCs/>
          <w:sz w:val="22"/>
          <w:szCs w:val="22"/>
        </w:rPr>
        <w:t xml:space="preserve">Transmission: </w:t>
      </w:r>
      <w:r>
        <w:rPr>
          <w:rFonts w:ascii="Arial" w:cs="Arial" w:eastAsia="Arial" w:hAnsi="Arial"/>
          <w:sz w:val="22"/>
          <w:szCs w:val="22"/>
        </w:rPr>
        <w:t xml:space="preserve">enabling infrastructure. Currently the binding constraint on all generation deployment regardless of fuel type.</w:t>
      </w:r>
      <w:r>
        <w:rPr>
          <w:rFonts w:ascii="Arial" w:cs="Arial" w:eastAsia="Arial" w:hAnsi="Arial"/>
          <w:color w:val="1B2A4A"/>
          <w:sz w:val="16"/>
          <w:szCs w:val="16"/>
          <w:vertAlign w:val="superscript"/>
        </w:rPr>
        <w:t xml:space="preserve">15,16</w:t>
      </w:r>
    </w:p>
    <w:p>
      <w:pPr>
        <w:spacing w:after="200" w:before="0" w:line="276"/>
      </w:pPr>
      <w:r>
        <w:rPr>
          <w:rFonts w:ascii="Arial" w:cs="Arial" w:eastAsia="Arial" w:hAnsi="Arial"/>
          <w:b/>
          <w:bCs/>
          <w:sz w:val="22"/>
          <w:szCs w:val="22"/>
        </w:rPr>
        <w:t xml:space="preserve">The U.S. grid is not transitioning away from natural gas in the near term; it is becoming more dependent on a combination of gas flexibility and firm clean generation under rising load conditions.</w:t>
      </w:r>
    </w:p>
    <w:p>
      <w:pPr>
        <w:pStyle w:val="Heading2"/>
        <w:spacing w:after="180" w:before="280"/>
      </w:pPr>
      <w:r>
        <w:rPr>
          <w:rFonts w:ascii="Arial" w:cs="Arial" w:eastAsia="Arial" w:hAnsi="Arial"/>
          <w:b/>
          <w:bCs/>
          <w:color w:val="1B2A4A"/>
          <w:sz w:val="26"/>
          <w:szCs w:val="26"/>
        </w:rPr>
        <w:t xml:space="preserve">Where Nuclear Adds Distinct Value</w:t>
      </w:r>
    </w:p>
    <w:p>
      <w:pPr>
        <w:spacing w:after="200" w:before="0" w:line="276"/>
      </w:pPr>
      <w:r>
        <w:rPr>
          <w:rFonts w:ascii="Arial" w:cs="Arial" w:eastAsia="Arial" w:hAnsi="Arial"/>
          <w:sz w:val="22"/>
          <w:szCs w:val="22"/>
        </w:rPr>
        <w:t xml:space="preserve">Nuclear’s distinct contribution within a gas-dominant grid is firm, clean, fuel-secure baseload that does not depend on weather, pipeline delivery, or commodity-price markets. Each nuclear GW-hour displaces a marginal gas GW-hour, reducing both emissions and the system’s exposure to gas-price volatility and supply disruptions—without requiring nuclear to replicate gas’s flexibility function.</w:t>
      </w:r>
    </w:p>
    <w:p>
      <w:pPr>
        <w:spacing w:after="200" w:before="0" w:line="276"/>
      </w:pPr>
      <w:r>
        <w:rPr>
          <w:rFonts w:ascii="Arial" w:cs="Arial" w:eastAsia="Arial" w:hAnsi="Arial"/>
          <w:sz w:val="22"/>
          <w:szCs w:val="22"/>
        </w:rPr>
        <w:t>One widely cited comparative cost analysis from Lazard suggests that when wind and solar are firmed to equivalent baseload reliability, costs rise substantially: solar-plus-firming reaches $116–$142/MWh across major RTOs.38 At these firmed costs, the comparison becomes more favorable to nuclear. However, this comparison must be stated precisely: existing fleet operating costs ($31–32/MWh) are not equivalent to new-build nuclear LCOE, which Lazard v18 places at $136–196/MWh unsubsidized for large reactors. The relevant policy comparison is between the total system cost of maintaining and extending existing nuclear versus building new firmed renewables to equivalent reliability—a comparison in which existing nuclear is strongly competitive, while new-build nuclear competes primarily on firm capacity value rather than energy cost alone.</w:t>
      </w:r>
      <w:r>
        <w:rPr>
          <w:rFonts w:ascii="Arial" w:cs="Arial" w:eastAsia="Arial" w:hAnsi="Arial"/>
          <w:color w:val="1B2A4A"/>
          <w:sz w:val="16"/>
          <w:szCs w:val="16"/>
          <w:vertAlign w:val="superscript"/>
        </w:rPr>
      </w:r>
      <w:r>
        <w:rPr>
          <w:rFonts w:ascii="Arial" w:cs="Arial" w:eastAsia="Arial" w:hAnsi="Arial"/>
          <w:sz w:val="22"/>
          <w:szCs w:val="22"/>
        </w:rPr>
      </w:r>
    </w:p>
    <w:p>
      <w:pPr>
        <w:spacing w:after="200" w:before="0" w:line="276"/>
      </w:pPr>
      <w:r>
        <w:rPr>
          <w:rFonts w:ascii="Arial" w:cs="Arial" w:eastAsia="Arial" w:hAnsi="Arial"/>
          <w:b/>
          <w:bCs/>
          <w:sz w:val="22"/>
          <w:szCs w:val="22"/>
        </w:rPr>
        <w:t xml:space="preserve">Policy implication: </w:t>
      </w:r>
      <w:r>
        <w:rPr>
          <w:rFonts w:ascii="Arial" w:cs="Arial" w:eastAsia="Arial" w:hAnsi="Arial"/>
          <w:sz w:val="22"/>
          <w:szCs w:val="22"/>
        </w:rPr>
        <w:t xml:space="preserve">Nuclear expansion should be evaluated not as a gas replacement but as a reliability and emissions hedge within a diversified generation portfolio. The strongest economic case is for applications where firm, clean, weather-independent generation carries a reliability premium.</w:t>
      </w:r>
    </w:p>
    <w:p>
      <w:r>
        <w:br w:type="page"/>
      </w:r>
    </w:p>
    <w:p>
      <w:pPr>
        <w:pStyle w:val="Heading1"/>
        <w:spacing w:after="240" w:before="360"/>
      </w:pPr>
      <w:r>
        <w:rPr>
          <w:rFonts w:ascii="Arial" w:cs="Arial" w:eastAsia="Arial" w:hAnsi="Arial"/>
          <w:b/>
          <w:bCs/>
          <w:color w:val="1B2A4A"/>
          <w:sz w:val="32"/>
          <w:szCs w:val="32"/>
        </w:rPr>
        <w:t xml:space="preserve">Section V — Core Constraints to Solve</w:t>
      </w:r>
    </w:p>
    <w:p>
      <w:pPr>
        <w:spacing w:after="200" w:before="0" w:line="276"/>
      </w:pPr>
      <w:r>
        <w:rPr>
          <w:rFonts w:ascii="Arial" w:cs="Arial" w:eastAsia="Arial" w:hAnsi="Arial"/>
          <w:sz w:val="22"/>
          <w:szCs w:val="22"/>
        </w:rPr>
        <w:t xml:space="preserve">Nuclear expansion is limited by six interdependent constraints. Each subsection identifies the constraint, explains why it matters, and describes the consequences if it remains unresolved.</w:t>
      </w:r>
    </w:p>
    <w:p>
      <w:pPr>
        <w:pStyle w:val="Heading3"/>
        <w:spacing w:after="140" w:before="240"/>
      </w:pPr>
      <w:r>
        <w:rPr>
          <w:rFonts w:ascii="Arial" w:cs="Arial" w:eastAsia="Arial" w:hAnsi="Arial"/>
          <w:b/>
          <w:bCs/>
          <w:color w:val="1B2A4A"/>
          <w:sz w:val="24"/>
          <w:szCs w:val="24"/>
        </w:rPr>
        <w:t xml:space="preserve">5.1 Fuel Cycle: HALEU and Enrichment</w:t>
      </w:r>
    </w:p>
    <w:p>
      <w:pPr>
        <w:spacing w:after="200" w:before="0" w:line="276"/>
      </w:pPr>
      <w:r>
        <w:rPr>
          <w:rFonts w:ascii="Arial" w:cs="Arial" w:eastAsia="Arial" w:hAnsi="Arial"/>
          <w:b/>
          <w:bCs/>
          <w:sz w:val="22"/>
          <w:szCs w:val="22"/>
        </w:rPr>
        <w:t xml:space="preserve">Constraint: </w:t>
      </w:r>
      <w:r>
        <w:rPr>
          <w:rFonts w:ascii="Arial" w:cs="Arial" w:eastAsia="Arial" w:hAnsi="Arial"/>
          <w:sz w:val="22"/>
          <w:szCs w:val="22"/>
        </w:rPr>
        <w:t xml:space="preserve">Russia controls an estimated 42–44% of global uranium enrichment capacity.</w:t>
      </w:r>
      <w:r>
        <w:rPr>
          <w:rFonts w:ascii="Arial" w:cs="Arial" w:eastAsia="Arial" w:hAnsi="Arial"/>
          <w:color w:val="1B2A4A"/>
          <w:sz w:val="16"/>
          <w:szCs w:val="16"/>
          <w:vertAlign w:val="superscript"/>
        </w:rPr>
        <w:t xml:space="preserve">39</w:t>
      </w:r>
      <w:r>
        <w:rPr>
          <w:rFonts w:ascii="Arial" w:cs="Arial" w:eastAsia="Arial" w:hAnsi="Arial"/>
          <w:sz w:val="22"/>
          <w:szCs w:val="22"/>
        </w:rPr>
        <w:t xml:space="preserve"> The U.S. cannot currently produce HALEU at commercial scale. Centrus’s demonstration cascade produced approximately 900 kg in its first year—orders of magnitude below the 21+ metric tons mandated by 2026.</w:t>
      </w:r>
      <w:r>
        <w:rPr>
          <w:rFonts w:ascii="Arial" w:cs="Arial" w:eastAsia="Arial" w:hAnsi="Arial"/>
          <w:color w:val="1B2A4A"/>
          <w:sz w:val="16"/>
          <w:szCs w:val="16"/>
          <w:vertAlign w:val="superscript"/>
        </w:rPr>
        <w:t xml:space="preserve">40</w:t>
      </w:r>
      <w:r>
        <w:rPr>
          <w:rFonts w:ascii="Arial" w:cs="Arial" w:eastAsia="Arial" w:hAnsi="Arial"/>
          <w:sz w:val="22"/>
          <w:szCs w:val="22"/>
        </w:rPr>
        <w:t xml:space="preserve"> DOE awarded $2.7 billion in HALEU contracts in October 2024, but commercial-scale production is not expected until the late 2020s to early 2030s.</w:t>
      </w:r>
      <w:r>
        <w:rPr>
          <w:rFonts w:ascii="Arial" w:cs="Arial" w:eastAsia="Arial" w:hAnsi="Arial"/>
          <w:color w:val="1B2A4A"/>
          <w:sz w:val="16"/>
          <w:szCs w:val="16"/>
          <w:vertAlign w:val="superscript"/>
        </w:rPr>
        <w:t xml:space="preserve">41</w:t>
      </w:r>
    </w:p>
    <w:p>
      <w:pPr>
        <w:spacing w:after="200" w:before="0" w:line="276"/>
      </w:pPr>
      <w:r>
        <w:rPr>
          <w:rFonts w:ascii="Arial" w:cs="Arial" w:eastAsia="Arial" w:hAnsi="Arial"/>
          <w:b/>
          <w:bCs/>
          <w:sz w:val="22"/>
          <w:szCs w:val="22"/>
        </w:rPr>
        <w:t xml:space="preserve">Why it matters: </w:t>
      </w:r>
      <w:r>
        <w:rPr>
          <w:rFonts w:ascii="Arial" w:cs="Arial" w:eastAsia="Arial" w:hAnsi="Arial"/>
          <w:sz w:val="22"/>
          <w:szCs w:val="22"/>
        </w:rPr>
        <w:t xml:space="preserve">HALEU is required for most advanced reactor designs. Without domestic supply, advanced-reactor licensing success will not translate into deployed generating capacity on schedule.</w:t>
      </w:r>
    </w:p>
    <w:p>
      <w:pPr>
        <w:spacing w:after="200" w:before="0" w:line="276"/>
      </w:pPr>
      <w:r>
        <w:rPr>
          <w:rFonts w:ascii="Arial" w:cs="Arial" w:eastAsia="Arial" w:hAnsi="Arial"/>
          <w:b/>
          <w:bCs/>
          <w:sz w:val="22"/>
          <w:szCs w:val="22"/>
        </w:rPr>
        <w:t xml:space="preserve">If unresolved: </w:t>
      </w:r>
      <w:r>
        <w:rPr>
          <w:rFonts w:ascii="Arial" w:cs="Arial" w:eastAsia="Arial" w:hAnsi="Arial"/>
          <w:sz w:val="22"/>
          <w:szCs w:val="22"/>
        </w:rPr>
        <w:t xml:space="preserve">Every advanced reactor program is delayed. U.S. dependence on adversary-controlled fuel supply persists. The credibility of the domestic advanced-nuclear program is undermined.</w:t>
      </w:r>
    </w:p>
    <w:p>
      <w:pPr>
        <w:pStyle w:val="Heading3"/>
        <w:spacing w:after="140" w:before="240"/>
      </w:pPr>
      <w:r>
        <w:rPr>
          <w:rFonts w:ascii="Arial" w:cs="Arial" w:eastAsia="Arial" w:hAnsi="Arial"/>
          <w:b/>
          <w:bCs/>
          <w:color w:val="1B2A4A"/>
          <w:sz w:val="24"/>
          <w:szCs w:val="24"/>
        </w:rPr>
        <w:t xml:space="preserve">5.2 Regulatory Execution</w:t>
      </w:r>
    </w:p>
    <w:p>
      <w:pPr>
        <w:spacing w:after="200" w:before="0" w:line="276"/>
      </w:pPr>
      <w:r>
        <w:rPr>
          <w:rFonts w:ascii="Arial" w:cs="Arial" w:eastAsia="Arial" w:hAnsi="Arial"/>
          <w:b/>
          <w:bCs/>
          <w:sz w:val="22"/>
          <w:szCs w:val="22"/>
        </w:rPr>
        <w:t xml:space="preserve">Constraint: </w:t>
      </w:r>
      <w:r>
        <w:rPr>
          <w:rFonts w:ascii="Arial" w:cs="Arial" w:eastAsia="Arial" w:hAnsi="Arial"/>
          <w:sz w:val="22"/>
          <w:szCs w:val="22"/>
        </w:rPr>
        <w:t xml:space="preserve">NRC design certification has historically required multi-year review periods and very high applicant costs.</w:t>
      </w:r>
      <w:r>
        <w:rPr>
          <w:rFonts w:ascii="Arial" w:cs="Arial" w:eastAsia="Arial" w:hAnsi="Arial"/>
          <w:color w:val="1B2A4A"/>
          <w:sz w:val="16"/>
          <w:szCs w:val="16"/>
          <w:vertAlign w:val="superscript"/>
        </w:rPr>
        <w:t xml:space="preserve">36</w:t>
      </w:r>
      <w:r>
        <w:rPr>
          <w:rFonts w:ascii="Arial" w:cs="Arial" w:eastAsia="Arial" w:hAnsi="Arial"/>
          <w:sz w:val="22"/>
          <w:szCs w:val="22"/>
        </w:rPr>
        <w:t xml:space="preserve"> The ADVANCE Act (2024) and Part 53 (2026) provide reform frameworks, but implementation experience is limited.</w:t>
      </w:r>
      <w:r>
        <w:rPr>
          <w:rFonts w:ascii="Arial" w:cs="Arial" w:eastAsia="Arial" w:hAnsi="Arial"/>
          <w:color w:val="1B2A4A"/>
          <w:sz w:val="16"/>
          <w:szCs w:val="16"/>
          <w:vertAlign w:val="superscript"/>
        </w:rPr>
        <w:t xml:space="preserve">42,43</w:t>
      </w:r>
    </w:p>
    <w:p>
      <w:pPr>
        <w:spacing w:after="200" w:before="0" w:line="276"/>
      </w:pPr>
      <w:r>
        <w:rPr>
          <w:rFonts w:ascii="Arial" w:cs="Arial" w:eastAsia="Arial" w:hAnsi="Arial"/>
          <w:b/>
          <w:bCs/>
          <w:sz w:val="22"/>
          <w:szCs w:val="22"/>
        </w:rPr>
        <w:t xml:space="preserve">Why it matters: </w:t>
      </w:r>
      <w:r>
        <w:rPr>
          <w:rFonts w:ascii="Arial" w:cs="Arial" w:eastAsia="Arial" w:hAnsi="Arial"/>
          <w:sz w:val="22"/>
          <w:szCs w:val="22"/>
        </w:rPr>
        <w:t xml:space="preserve">Regulatory timeline and cost are primary determinants of whether U.S. nuclear expansion becomes executable. Unpredictable review timelines inflate financing costs and deter private capital.</w:t>
      </w:r>
    </w:p>
    <w:p>
      <w:pPr>
        <w:spacing w:after="200" w:before="0" w:line="276"/>
      </w:pPr>
      <w:r>
        <w:rPr>
          <w:rFonts w:ascii="Arial" w:cs="Arial" w:eastAsia="Arial" w:hAnsi="Arial"/>
          <w:b/>
          <w:bCs/>
          <w:sz w:val="22"/>
          <w:szCs w:val="22"/>
        </w:rPr>
        <w:t xml:space="preserve">If unresolved: </w:t>
      </w:r>
      <w:r>
        <w:rPr>
          <w:rFonts w:ascii="Arial" w:cs="Arial" w:eastAsia="Arial" w:hAnsi="Arial"/>
          <w:sz w:val="22"/>
          <w:szCs w:val="22"/>
        </w:rPr>
        <w:t xml:space="preserve">The U.S. continues to lag Canadian, Korean, and Chinese regulatory timelines. Projects that secure funding and fuel may still fail to deploy on schedule.</w:t>
      </w:r>
    </w:p>
    <w:p>
      <w:pPr>
        <w:pStyle w:val="Heading3"/>
        <w:spacing w:after="140" w:before="240"/>
      </w:pPr>
      <w:r>
        <w:rPr>
          <w:rFonts w:ascii="Arial" w:cs="Arial" w:eastAsia="Arial" w:hAnsi="Arial"/>
          <w:b/>
          <w:bCs/>
          <w:color w:val="1B2A4A"/>
          <w:sz w:val="24"/>
          <w:szCs w:val="24"/>
        </w:rPr>
        <w:t xml:space="preserve">5.3 Industrial Base</w:t>
      </w:r>
    </w:p>
    <w:p>
      <w:pPr>
        <w:spacing w:after="200" w:before="0" w:line="276"/>
      </w:pPr>
      <w:r>
        <w:rPr>
          <w:rFonts w:ascii="Arial" w:cs="Arial" w:eastAsia="Arial" w:hAnsi="Arial"/>
          <w:b/>
          <w:bCs/>
          <w:sz w:val="22"/>
          <w:szCs w:val="22"/>
        </w:rPr>
        <w:t xml:space="preserve">Constraint: </w:t>
      </w:r>
      <w:r>
        <w:rPr>
          <w:rFonts w:ascii="Arial" w:cs="Arial" w:eastAsia="Arial" w:hAnsi="Arial"/>
          <w:sz w:val="22"/>
          <w:szCs w:val="22"/>
        </w:rPr>
        <w:t xml:space="preserve">The U.S. currently lacks domestic large-reactor pressure vessel manufacturing at the scale required for rapid large-reactor deployment. Key suppliers are in Japan, South Korea, and China.</w:t>
      </w:r>
      <w:r>
        <w:rPr>
          <w:rFonts w:ascii="Arial" w:cs="Arial" w:eastAsia="Arial" w:hAnsi="Arial"/>
          <w:color w:val="1B2A4A"/>
          <w:sz w:val="16"/>
          <w:szCs w:val="16"/>
          <w:vertAlign w:val="superscript"/>
        </w:rPr>
        <w:t xml:space="preserve">44</w:t>
      </w:r>
    </w:p>
    <w:p>
      <w:pPr>
        <w:spacing w:after="200" w:before="0" w:line="276"/>
      </w:pPr>
      <w:r>
        <w:rPr>
          <w:rFonts w:ascii="Arial" w:cs="Arial" w:eastAsia="Arial" w:hAnsi="Arial"/>
          <w:b/>
          <w:bCs/>
          <w:sz w:val="22"/>
          <w:szCs w:val="22"/>
        </w:rPr>
        <w:t xml:space="preserve">Why it matters: </w:t>
      </w:r>
      <w:r>
        <w:rPr>
          <w:rFonts w:ascii="Arial" w:cs="Arial" w:eastAsia="Arial" w:hAnsi="Arial"/>
          <w:sz w:val="22"/>
          <w:szCs w:val="22"/>
        </w:rPr>
        <w:t xml:space="preserve">Without domestic or allied-nation manufacturing capacity, the nuclear supply chain remains a strategic vulnerability and a potential schedule bottleneck.</w:t>
      </w:r>
    </w:p>
    <w:p>
      <w:pPr>
        <w:spacing w:after="200" w:before="0" w:line="276"/>
      </w:pPr>
      <w:r>
        <w:rPr>
          <w:rFonts w:ascii="Arial" w:cs="Arial" w:eastAsia="Arial" w:hAnsi="Arial"/>
          <w:b/>
          <w:bCs/>
          <w:sz w:val="22"/>
          <w:szCs w:val="22"/>
        </w:rPr>
        <w:t xml:space="preserve">If unresolved: </w:t>
      </w:r>
      <w:r>
        <w:rPr>
          <w:rFonts w:ascii="Arial" w:cs="Arial" w:eastAsia="Arial" w:hAnsi="Arial"/>
          <w:sz w:val="22"/>
          <w:szCs w:val="22"/>
        </w:rPr>
        <w:t xml:space="preserve">Project timelines are extended by component procurement delays. Strategic dependence on foreign heavy-manufacturing capacity increases.</w:t>
      </w:r>
    </w:p>
    <w:p>
      <w:pPr>
        <w:pStyle w:val="Heading3"/>
        <w:spacing w:after="140" w:before="240"/>
      </w:pPr>
      <w:r>
        <w:rPr>
          <w:rFonts w:ascii="Arial" w:cs="Arial" w:eastAsia="Arial" w:hAnsi="Arial"/>
          <w:b/>
          <w:bCs/>
          <w:color w:val="1B2A4A"/>
          <w:sz w:val="24"/>
          <w:szCs w:val="24"/>
        </w:rPr>
        <w:t xml:space="preserve">5.4 Workforce</w:t>
      </w:r>
    </w:p>
    <w:p>
      <w:pPr>
        <w:spacing w:after="200" w:before="0" w:line="276"/>
      </w:pPr>
      <w:r>
        <w:rPr>
          <w:rFonts w:ascii="Arial" w:cs="Arial" w:eastAsia="Arial" w:hAnsi="Arial"/>
          <w:b/>
          <w:bCs/>
          <w:sz w:val="22"/>
          <w:szCs w:val="22"/>
        </w:rPr>
        <w:t xml:space="preserve">Constraint: </w:t>
      </w:r>
      <w:r>
        <w:rPr>
          <w:rFonts w:ascii="Arial" w:cs="Arial" w:eastAsia="Arial" w:hAnsi="Arial"/>
          <w:sz w:val="22"/>
          <w:szCs w:val="22"/>
        </w:rPr>
        <w:t xml:space="preserve">Industry and DOE workforce assessments indicate the nuclear workforce numbers approximately 67,900 workers (2024), with nearly 40% eligible for retirement within a decade. Hiring difficulty rates exceed 80% across nuclear construction, manufacturing, and utilities.</w:t>
      </w:r>
      <w:r>
        <w:rPr>
          <w:rFonts w:ascii="Arial" w:cs="Arial" w:eastAsia="Arial" w:hAnsi="Arial"/>
          <w:color w:val="1B2A4A"/>
          <w:sz w:val="16"/>
          <w:szCs w:val="16"/>
          <w:vertAlign w:val="superscript"/>
        </w:rPr>
        <w:t xml:space="preserve">45</w:t>
      </w:r>
    </w:p>
    <w:p>
      <w:pPr>
        <w:spacing w:after="200" w:before="0" w:line="276"/>
      </w:pPr>
      <w:r>
        <w:rPr>
          <w:rFonts w:ascii="Arial" w:cs="Arial" w:eastAsia="Arial" w:hAnsi="Arial"/>
          <w:b/>
          <w:bCs/>
          <w:sz w:val="22"/>
          <w:szCs w:val="22"/>
        </w:rPr>
        <w:t xml:space="preserve">Why it matters: </w:t>
      </w:r>
      <w:r>
        <w:rPr>
          <w:rFonts w:ascii="Arial" w:cs="Arial" w:eastAsia="Arial" w:hAnsi="Arial"/>
          <w:sz w:val="22"/>
          <w:szCs w:val="22"/>
        </w:rPr>
        <w:t xml:space="preserve">Scaling requires tens of thousands of additional skilled workers. This pipeline does not exist at the necessary scale.</w:t>
      </w:r>
    </w:p>
    <w:p>
      <w:pPr>
        <w:spacing w:after="200" w:before="0" w:line="276"/>
      </w:pPr>
      <w:r>
        <w:rPr>
          <w:rFonts w:ascii="Arial" w:cs="Arial" w:eastAsia="Arial" w:hAnsi="Arial"/>
          <w:b/>
          <w:bCs/>
          <w:sz w:val="22"/>
          <w:szCs w:val="22"/>
        </w:rPr>
        <w:t xml:space="preserve">If unresolved: </w:t>
      </w:r>
      <w:r>
        <w:rPr>
          <w:rFonts w:ascii="Arial" w:cs="Arial" w:eastAsia="Arial" w:hAnsi="Arial"/>
          <w:sz w:val="22"/>
          <w:szCs w:val="22"/>
        </w:rPr>
        <w:t xml:space="preserve">Projects face construction delays, cost overruns, and quality-assurance failures. The workforce bottleneck becomes binding on even well-funded projects.</w:t>
      </w:r>
    </w:p>
    <w:p>
      <w:pPr>
        <w:pStyle w:val="Heading3"/>
        <w:spacing w:after="140" w:before="240"/>
      </w:pPr>
      <w:r>
        <w:rPr>
          <w:rFonts w:ascii="Arial" w:cs="Arial" w:eastAsia="Arial" w:hAnsi="Arial"/>
          <w:b/>
          <w:bCs/>
          <w:color w:val="1B2A4A"/>
          <w:sz w:val="24"/>
          <w:szCs w:val="24"/>
        </w:rPr>
        <w:t xml:space="preserve">5.5 Transmission and Interconnection</w:t>
      </w:r>
    </w:p>
    <w:p>
      <w:pPr>
        <w:spacing w:after="200" w:before="0" w:line="276"/>
      </w:pPr>
      <w:r>
        <w:rPr>
          <w:rFonts w:ascii="Arial" w:cs="Arial" w:eastAsia="Arial" w:hAnsi="Arial"/>
          <w:b/>
          <w:bCs/>
          <w:sz w:val="22"/>
          <w:szCs w:val="22"/>
        </w:rPr>
        <w:t xml:space="preserve">Constraint: </w:t>
      </w:r>
      <w:r>
        <w:rPr>
          <w:rFonts w:ascii="Arial" w:cs="Arial" w:eastAsia="Arial" w:hAnsi="Arial"/>
          <w:sz w:val="22"/>
          <w:szCs w:val="22"/>
        </w:rPr>
        <w:t xml:space="preserve">High-voltage transmission completions in 2024 remained well below the pace needed to support projected load growth.</w:t>
      </w:r>
      <w:r>
        <w:rPr>
          <w:rFonts w:ascii="Arial" w:cs="Arial" w:eastAsia="Arial" w:hAnsi="Arial"/>
          <w:color w:val="1B2A4A"/>
          <w:sz w:val="16"/>
          <w:szCs w:val="16"/>
          <w:vertAlign w:val="superscript"/>
        </w:rPr>
        <w:t xml:space="preserve">15</w:t>
      </w:r>
      <w:r>
        <w:rPr>
          <w:rFonts w:ascii="Arial" w:cs="Arial" w:eastAsia="Arial" w:hAnsi="Arial"/>
          <w:sz w:val="22"/>
          <w:szCs w:val="22"/>
        </w:rPr>
        <w:t xml:space="preserve"> The interconnection queue contains over 2,300 GW with approximately 19% reaching commercial operation.</w:t>
      </w:r>
      <w:r>
        <w:rPr>
          <w:rFonts w:ascii="Arial" w:cs="Arial" w:eastAsia="Arial" w:hAnsi="Arial"/>
          <w:color w:val="1B2A4A"/>
          <w:sz w:val="16"/>
          <w:szCs w:val="16"/>
          <w:vertAlign w:val="superscript"/>
        </w:rPr>
        <w:t xml:space="preserve">16</w:t>
      </w:r>
    </w:p>
    <w:p>
      <w:pPr>
        <w:spacing w:after="200" w:before="0" w:line="276"/>
      </w:pPr>
      <w:r>
        <w:rPr>
          <w:rFonts w:ascii="Arial" w:cs="Arial" w:eastAsia="Arial" w:hAnsi="Arial"/>
          <w:b/>
          <w:bCs/>
          <w:sz w:val="22"/>
          <w:szCs w:val="22"/>
        </w:rPr>
        <w:t xml:space="preserve">Why it matters: </w:t>
      </w:r>
      <w:r>
        <w:rPr>
          <w:rFonts w:ascii="Arial" w:cs="Arial" w:eastAsia="Arial" w:hAnsi="Arial"/>
          <w:sz w:val="22"/>
          <w:szCs w:val="22"/>
        </w:rPr>
        <w:t xml:space="preserve">New nuclear plants require grid interconnection through the same congested queue as all other generation.</w:t>
      </w:r>
    </w:p>
    <w:p>
      <w:pPr>
        <w:spacing w:after="200" w:before="0" w:line="276"/>
      </w:pPr>
      <w:r>
        <w:rPr>
          <w:rFonts w:ascii="Arial" w:cs="Arial" w:eastAsia="Arial" w:hAnsi="Arial"/>
          <w:b/>
          <w:bCs/>
          <w:sz w:val="22"/>
          <w:szCs w:val="22"/>
        </w:rPr>
        <w:t xml:space="preserve">If unresolved: </w:t>
      </w:r>
      <w:r>
        <w:rPr>
          <w:rFonts w:ascii="Arial" w:cs="Arial" w:eastAsia="Arial" w:hAnsi="Arial"/>
          <w:sz w:val="22"/>
          <w:szCs w:val="22"/>
        </w:rPr>
        <w:t xml:space="preserve">New generation—nuclear or otherwise—cannot reach load. Reliability improvements from added capacity are negated by delivery failures.</w:t>
      </w:r>
    </w:p>
    <w:p>
      <w:pPr>
        <w:pStyle w:val="Heading3"/>
        <w:spacing w:after="140" w:before="240"/>
      </w:pPr>
      <w:r>
        <w:rPr>
          <w:rFonts w:ascii="Arial" w:cs="Arial" w:eastAsia="Arial" w:hAnsi="Arial"/>
          <w:b/>
          <w:bCs/>
          <w:color w:val="1B2A4A"/>
          <w:sz w:val="24"/>
          <w:szCs w:val="24"/>
        </w:rPr>
        <w:t xml:space="preserve">5.6 Financing Risk</w:t>
      </w:r>
    </w:p>
    <w:p>
      <w:pPr>
        <w:spacing w:after="200" w:before="0" w:line="276"/>
      </w:pPr>
      <w:r>
        <w:rPr>
          <w:rFonts w:ascii="Arial" w:cs="Arial" w:eastAsia="Arial" w:hAnsi="Arial"/>
          <w:b/>
          <w:bCs/>
          <w:sz w:val="22"/>
          <w:szCs w:val="22"/>
        </w:rPr>
        <w:t xml:space="preserve">Constraint: </w:t>
      </w:r>
      <w:r>
        <w:rPr>
          <w:rFonts w:ascii="Arial" w:cs="Arial" w:eastAsia="Arial" w:hAnsi="Arial"/>
          <w:sz w:val="22"/>
          <w:szCs w:val="22"/>
        </w:rPr>
        <w:t xml:space="preserve">Nuclear projects are capital-intensive with multi-decade payback periods. Policy volatility—changes to tax credits, funding interruptions, regulatory reversals—functions as a direct cost adder.</w:t>
      </w:r>
      <w:r>
        <w:rPr>
          <w:rFonts w:ascii="Arial" w:cs="Arial" w:eastAsia="Arial" w:hAnsi="Arial"/>
          <w:color w:val="1B2A4A"/>
          <w:sz w:val="16"/>
          <w:szCs w:val="16"/>
          <w:vertAlign w:val="superscript"/>
        </w:rPr>
        <w:t xml:space="preserve">19</w:t>
      </w:r>
    </w:p>
    <w:p>
      <w:pPr>
        <w:spacing w:after="200" w:before="0" w:line="276"/>
      </w:pPr>
      <w:r>
        <w:rPr>
          <w:rFonts w:ascii="Arial" w:cs="Arial" w:eastAsia="Arial" w:hAnsi="Arial"/>
          <w:b/>
          <w:bCs/>
          <w:sz w:val="22"/>
          <w:szCs w:val="22"/>
        </w:rPr>
        <w:t xml:space="preserve">Why it matters: </w:t>
      </w:r>
      <w:r>
        <w:rPr>
          <w:rFonts w:ascii="Arial" w:cs="Arial" w:eastAsia="Arial" w:hAnsi="Arial"/>
          <w:sz w:val="22"/>
          <w:szCs w:val="22"/>
        </w:rPr>
        <w:t xml:space="preserve">The IRA’s tax credits and DOE Loan Programs Office authority provide the current financing foundation. Their durability determines whether private capital treats nuclear as bankable.</w:t>
      </w:r>
    </w:p>
    <w:p>
      <w:pPr>
        <w:spacing w:after="200" w:before="0" w:line="276"/>
      </w:pPr>
      <w:r>
        <w:rPr>
          <w:rFonts w:ascii="Arial" w:cs="Arial" w:eastAsia="Arial" w:hAnsi="Arial"/>
          <w:b/>
          <w:bCs/>
          <w:sz w:val="22"/>
          <w:szCs w:val="22"/>
        </w:rPr>
        <w:t xml:space="preserve">If unresolved: </w:t>
      </w:r>
      <w:r>
        <w:rPr>
          <w:rFonts w:ascii="Arial" w:cs="Arial" w:eastAsia="Arial" w:hAnsi="Arial"/>
          <w:sz w:val="22"/>
          <w:szCs w:val="22"/>
        </w:rPr>
        <w:t xml:space="preserve">Financing costs rise, private investment retreats, and the nuclear industry becomes dependent on intermittent federal support rather than sustainable market economics.</w:t>
      </w:r>
    </w:p>
    <w:p>
      <w:pPr>
        <w:spacing w:after="200" w:before="0" w:line="276"/>
      </w:pPr>
      <w:r>
        <w:rPr>
          <w:rFonts w:ascii="Arial" w:cs="Arial" w:eastAsia="Arial" w:hAnsi="Arial"/>
          <w:b/>
          <w:bCs/>
          <w:sz w:val="22"/>
          <w:szCs w:val="22"/>
        </w:rPr>
        <w:t xml:space="preserve">Failure to resolve these constraints does not delay nuclear expansion marginally; it prevents it from occurring at meaningful scale.</w:t>
      </w:r>
    </w:p>
    <w:p>
      <w:r>
        <w:br w:type="page"/>
      </w:r>
    </w:p>
    <w:p>
      <w:pPr>
        <w:pStyle w:val="Heading1"/>
        <w:spacing w:after="240" w:before="360"/>
      </w:pPr>
      <w:r>
        <w:rPr>
          <w:rFonts w:ascii="Arial" w:cs="Arial" w:eastAsia="Arial" w:hAnsi="Arial"/>
          <w:b/>
          <w:bCs/>
          <w:color w:val="1B2A4A"/>
          <w:sz w:val="32"/>
          <w:szCs w:val="32"/>
        </w:rPr>
        <w:t xml:space="preserve">Section VI — Policy Architecture</w:t>
      </w:r>
    </w:p>
    <w:p>
      <w:pPr>
        <w:spacing w:after="200" w:before="0" w:line="276"/>
      </w:pPr>
      <w:r>
        <w:rPr>
          <w:rFonts w:ascii="Arial" w:cs="Arial" w:eastAsia="Arial" w:hAnsi="Arial"/>
          <w:sz w:val="22"/>
          <w:szCs w:val="22"/>
        </w:rPr>
        <w:t xml:space="preserve">A credible nuclear policy is a coordination problem across regulation, fuel, finance, transmission, procurement, and workforce—not a single-technology or single-agency solution.</w:t>
      </w:r>
    </w:p>
    <w:p>
      <w:pPr>
        <w:pStyle w:val="Heading3"/>
        <w:spacing w:after="140" w:before="240"/>
      </w:pPr>
      <w:r>
        <w:rPr>
          <w:rFonts w:ascii="Arial" w:cs="Arial" w:eastAsia="Arial" w:hAnsi="Arial"/>
          <w:b/>
          <w:bCs/>
          <w:color w:val="1B2A4A"/>
          <w:sz w:val="24"/>
          <w:szCs w:val="24"/>
        </w:rPr>
        <w:t xml:space="preserve">6.1 Nuclear Regulatory Commission</w:t>
      </w:r>
    </w:p>
    <w:p>
      <w:pPr>
        <w:spacing w:after="200" w:before="0" w:line="276"/>
      </w:pPr>
      <w:r>
        <w:rPr>
          <w:rFonts w:ascii="Arial" w:cs="Arial" w:eastAsia="Arial" w:hAnsi="Arial"/>
          <w:b/>
          <w:bCs/>
          <w:sz w:val="22"/>
          <w:szCs w:val="22"/>
        </w:rPr>
        <w:t xml:space="preserve">Problem: </w:t>
      </w:r>
      <w:r>
        <w:rPr>
          <w:rFonts w:ascii="Arial" w:cs="Arial" w:eastAsia="Arial" w:hAnsi="Arial"/>
          <w:sz w:val="22"/>
          <w:szCs w:val="22"/>
        </w:rPr>
        <w:t xml:space="preserve">Licensing timelines remain long and unpredictable. NEPA review duplication adds cost and delay. NRC staffing is not aligned to support multiple concurrent advanced-reactor reviews.</w:t>
      </w:r>
    </w:p>
    <w:p>
      <w:pPr>
        <w:spacing w:after="200" w:before="0" w:line="276"/>
      </w:pPr>
      <w:r>
        <w:rPr>
          <w:rFonts w:ascii="Arial" w:cs="Arial" w:eastAsia="Arial" w:hAnsi="Arial"/>
          <w:b/>
          <w:bCs/>
          <w:sz w:val="22"/>
          <w:szCs w:val="22"/>
        </w:rPr>
        <w:t xml:space="preserve">Policy action: </w:t>
      </w:r>
      <w:r>
        <w:rPr>
          <w:rFonts w:ascii="Arial" w:cs="Arial" w:eastAsia="Arial" w:hAnsi="Arial"/>
          <w:sz w:val="22"/>
          <w:szCs w:val="22"/>
        </w:rPr>
        <w:t xml:space="preserve">Prioritize brownfield and existing-site reviews where environmental analysis can be reused. Implement serial licensing for repeated certified designs. Staff to the actual deployment pipeline under Part 53. Reduce needless variability and sequencing delay without weakening safety review.</w:t>
      </w:r>
    </w:p>
    <w:p>
      <w:pPr>
        <w:spacing w:after="200" w:before="0" w:line="276"/>
      </w:pPr>
      <w:r>
        <w:rPr>
          <w:rFonts w:ascii="Arial" w:cs="Arial" w:eastAsia="Arial" w:hAnsi="Arial"/>
          <w:b/>
          <w:bCs/>
          <w:sz w:val="22"/>
          <w:szCs w:val="22"/>
        </w:rPr>
        <w:t xml:space="preserve">Execution implication: </w:t>
      </w:r>
      <w:r>
        <w:rPr>
          <w:rFonts w:ascii="Arial" w:cs="Arial" w:eastAsia="Arial" w:hAnsi="Arial"/>
          <w:sz w:val="22"/>
          <w:szCs w:val="22"/>
        </w:rPr>
        <w:t xml:space="preserve">If NRC review clocks do not become predictable, financing costs remain elevated and private capital treats U.S. nuclear deployment as unbankable regardless of technology readiness.</w:t>
      </w:r>
    </w:p>
    <w:p>
      <w:pPr>
        <w:pStyle w:val="Heading3"/>
        <w:spacing w:after="140" w:before="240"/>
      </w:pPr>
      <w:r>
        <w:rPr>
          <w:rFonts w:ascii="Arial" w:cs="Arial" w:eastAsia="Arial" w:hAnsi="Arial"/>
          <w:b/>
          <w:bCs/>
          <w:color w:val="1B2A4A"/>
          <w:sz w:val="24"/>
          <w:szCs w:val="24"/>
        </w:rPr>
        <w:t xml:space="preserve">6.2 Department of Energy</w:t>
      </w:r>
    </w:p>
    <w:p>
      <w:pPr>
        <w:spacing w:after="200" w:before="0" w:line="276"/>
      </w:pPr>
      <w:r>
        <w:rPr>
          <w:rFonts w:ascii="Arial" w:cs="Arial" w:eastAsia="Arial" w:hAnsi="Arial"/>
          <w:b/>
          <w:bCs/>
          <w:sz w:val="22"/>
          <w:szCs w:val="22"/>
        </w:rPr>
        <w:t xml:space="preserve">Problem: </w:t>
      </w:r>
      <w:r>
        <w:rPr>
          <w:rFonts w:ascii="Arial" w:cs="Arial" w:eastAsia="Arial" w:hAnsi="Arial"/>
          <w:sz w:val="22"/>
          <w:szCs w:val="22"/>
        </w:rPr>
        <w:t xml:space="preserve">Recent federal targets and fuel mandates indicate strategic intent, but conversion to fuel availability, project finance, and industrial-base capacity is incomplete.</w:t>
      </w:r>
    </w:p>
    <w:p>
      <w:pPr>
        <w:spacing w:after="200" w:before="0" w:line="276"/>
      </w:pPr>
      <w:r>
        <w:rPr>
          <w:rFonts w:ascii="Arial" w:cs="Arial" w:eastAsia="Arial" w:hAnsi="Arial"/>
          <w:b/>
          <w:bCs/>
          <w:sz w:val="22"/>
          <w:szCs w:val="22"/>
        </w:rPr>
        <w:t xml:space="preserve">Policy action: </w:t>
      </w:r>
      <w:r>
        <w:rPr>
          <w:rFonts w:ascii="Arial" w:cs="Arial" w:eastAsia="Arial" w:hAnsi="Arial"/>
          <w:sz w:val="22"/>
          <w:szCs w:val="22"/>
        </w:rPr>
        <w:t xml:space="preserve">Scale HALEU offtake contracts and establish a national fuel bank. Maintain restart financing through the Loan Programs Office. Expand domestic manufacturing incentives. Tie workforce development grants to projects with defined construction timelines.</w:t>
      </w:r>
    </w:p>
    <w:p>
      <w:pPr>
        <w:spacing w:after="200" w:before="0" w:line="276"/>
      </w:pPr>
      <w:r>
        <w:rPr>
          <w:rFonts w:ascii="Arial" w:cs="Arial" w:eastAsia="Arial" w:hAnsi="Arial"/>
          <w:b/>
          <w:bCs/>
          <w:sz w:val="22"/>
          <w:szCs w:val="22"/>
        </w:rPr>
        <w:t xml:space="preserve">Execution implication: </w:t>
      </w:r>
      <w:r>
        <w:rPr>
          <w:rFonts w:ascii="Arial" w:cs="Arial" w:eastAsia="Arial" w:hAnsi="Arial"/>
          <w:sz w:val="22"/>
          <w:szCs w:val="22"/>
        </w:rPr>
        <w:t xml:space="preserve">DOE’s core role is to convert strategic intent into fuel availability, project finance, and industrial-base capacity. If DOE cannot deliver fuel and finance on schedule, downstream deployment stalls.</w:t>
      </w:r>
    </w:p>
    <w:p>
      <w:pPr>
        <w:pStyle w:val="Heading3"/>
        <w:spacing w:after="140" w:before="240"/>
      </w:pPr>
      <w:r>
        <w:rPr>
          <w:rFonts w:ascii="Arial" w:cs="Arial" w:eastAsia="Arial" w:hAnsi="Arial"/>
          <w:b/>
          <w:bCs/>
          <w:color w:val="1B2A4A"/>
          <w:sz w:val="24"/>
          <w:szCs w:val="24"/>
        </w:rPr>
        <w:t xml:space="preserve">6.3 FERC and Regional Transmission Organizations</w:t>
      </w:r>
    </w:p>
    <w:p>
      <w:pPr>
        <w:spacing w:after="200" w:before="0" w:line="276"/>
      </w:pPr>
      <w:r>
        <w:rPr>
          <w:rFonts w:ascii="Arial" w:cs="Arial" w:eastAsia="Arial" w:hAnsi="Arial"/>
          <w:b/>
          <w:bCs/>
          <w:sz w:val="22"/>
          <w:szCs w:val="22"/>
        </w:rPr>
        <w:t xml:space="preserve">Problem: </w:t>
      </w:r>
      <w:r>
        <w:rPr>
          <w:rFonts w:ascii="Arial" w:cs="Arial" w:eastAsia="Arial" w:hAnsi="Arial"/>
          <w:sz w:val="22"/>
          <w:szCs w:val="22"/>
        </w:rPr>
        <w:t xml:space="preserve">Interconnection queues reward speculative applications over deliverable projects. Capacity accreditation does not fully reflect the reliability contribution of firm clean generation. Co-location frameworks are unsettled.</w:t>
      </w:r>
    </w:p>
    <w:p>
      <w:pPr>
        <w:spacing w:after="200" w:before="0" w:line="276"/>
      </w:pPr>
      <w:r>
        <w:rPr>
          <w:rFonts w:ascii="Arial" w:cs="Arial" w:eastAsia="Arial" w:hAnsi="Arial"/>
          <w:b/>
          <w:bCs/>
          <w:sz w:val="22"/>
          <w:szCs w:val="22"/>
        </w:rPr>
        <w:t xml:space="preserve">Policy action: </w:t>
      </w:r>
      <w:r>
        <w:rPr>
          <w:rFonts w:ascii="Arial" w:cs="Arial" w:eastAsia="Arial" w:hAnsi="Arial"/>
          <w:sz w:val="22"/>
          <w:szCs w:val="22"/>
        </w:rPr>
        <w:t xml:space="preserve">Reform interconnection queues to value deliverability. Update capacity accreditation to reflect firm generation’s reliability contribution. Develop clear co-location rules. Implement Order 1920’s 20-year planning with realistic nuclear deployment scenarios.</w:t>
      </w:r>
    </w:p>
    <w:p>
      <w:pPr>
        <w:spacing w:after="200" w:before="0" w:line="276"/>
      </w:pPr>
      <w:r>
        <w:rPr>
          <w:rFonts w:ascii="Arial" w:cs="Arial" w:eastAsia="Arial" w:hAnsi="Arial"/>
          <w:b/>
          <w:bCs/>
          <w:sz w:val="22"/>
          <w:szCs w:val="22"/>
        </w:rPr>
        <w:t xml:space="preserve">Execution implication: </w:t>
      </w:r>
      <w:r>
        <w:rPr>
          <w:rFonts w:ascii="Arial" w:cs="Arial" w:eastAsia="Arial" w:hAnsi="Arial"/>
          <w:sz w:val="22"/>
          <w:szCs w:val="22"/>
        </w:rPr>
        <w:t xml:space="preserve">Nuclear policy cannot succeed if dependable generation is added into a market structure that still rewards nominal interconnection volume over delivered reliability.</w:t>
      </w:r>
    </w:p>
    <w:p>
      <w:pPr>
        <w:pStyle w:val="Heading3"/>
        <w:spacing w:after="140" w:before="240"/>
      </w:pPr>
      <w:r>
        <w:rPr>
          <w:rFonts w:ascii="Arial" w:cs="Arial" w:eastAsia="Arial" w:hAnsi="Arial"/>
          <w:b/>
          <w:bCs/>
          <w:color w:val="1B2A4A"/>
          <w:sz w:val="24"/>
          <w:szCs w:val="24"/>
        </w:rPr>
        <w:t xml:space="preserve">6.4 Congress</w:t>
      </w:r>
    </w:p>
    <w:p>
      <w:pPr>
        <w:spacing w:after="200" w:before="0" w:line="276"/>
      </w:pPr>
      <w:r>
        <w:rPr>
          <w:rFonts w:ascii="Arial" w:cs="Arial" w:eastAsia="Arial" w:hAnsi="Arial"/>
          <w:b/>
          <w:bCs/>
          <w:sz w:val="22"/>
          <w:szCs w:val="22"/>
        </w:rPr>
        <w:t xml:space="preserve">Problem: </w:t>
      </w:r>
      <w:r>
        <w:rPr>
          <w:rFonts w:ascii="Arial" w:cs="Arial" w:eastAsia="Arial" w:hAnsi="Arial"/>
          <w:sz w:val="22"/>
          <w:szCs w:val="22"/>
        </w:rPr>
        <w:t xml:space="preserve">Policy volatility inflates financing costs and deters private investment. Stop-start subsidy cycles undermine supply-chain development.</w:t>
      </w:r>
    </w:p>
    <w:p>
      <w:pPr>
        <w:spacing w:after="200" w:before="0" w:line="276"/>
      </w:pPr>
      <w:r>
        <w:rPr>
          <w:rFonts w:ascii="Arial" w:cs="Arial" w:eastAsia="Arial" w:hAnsi="Arial"/>
          <w:b/>
          <w:bCs/>
          <w:sz w:val="22"/>
          <w:szCs w:val="22"/>
        </w:rPr>
        <w:t xml:space="preserve">Policy action: </w:t>
      </w:r>
      <w:r>
        <w:rPr>
          <w:rFonts w:ascii="Arial" w:cs="Arial" w:eastAsia="Arial" w:hAnsi="Arial"/>
          <w:sz w:val="22"/>
          <w:szCs w:val="22"/>
        </w:rPr>
        <w:t xml:space="preserve">Preserve predictable, long-duration tax-credit support (45Y PTC and 48E ITC) through at least the early 2030s. Fully fund domestic enrichment and HALEU programs. Maintain Loan Programs Office authority. Support export competitiveness through 123 Agreement expansion.</w:t>
      </w:r>
    </w:p>
    <w:p>
      <w:pPr>
        <w:spacing w:after="200" w:before="0" w:line="276"/>
      </w:pPr>
      <w:r>
        <w:rPr>
          <w:rFonts w:ascii="Arial" w:cs="Arial" w:eastAsia="Arial" w:hAnsi="Arial"/>
          <w:b/>
          <w:bCs/>
          <w:sz w:val="22"/>
          <w:szCs w:val="22"/>
        </w:rPr>
        <w:t xml:space="preserve">Execution implication: </w:t>
      </w:r>
      <w:r>
        <w:rPr>
          <w:rFonts w:ascii="Arial" w:cs="Arial" w:eastAsia="Arial" w:hAnsi="Arial"/>
          <w:sz w:val="22"/>
          <w:szCs w:val="22"/>
        </w:rPr>
        <w:t xml:space="preserve">For capital-intensive projects, policy volatility functions as a cost adder. Congressional stability is a financing condition, not a political preference.</w:t>
      </w:r>
    </w:p>
    <w:p>
      <w:pPr>
        <w:pStyle w:val="Heading3"/>
        <w:spacing w:after="140" w:before="240"/>
      </w:pPr>
      <w:r>
        <w:rPr>
          <w:rFonts w:ascii="Arial" w:cs="Arial" w:eastAsia="Arial" w:hAnsi="Arial"/>
          <w:b/>
          <w:bCs/>
          <w:color w:val="1B2A4A"/>
          <w:sz w:val="24"/>
          <w:szCs w:val="24"/>
        </w:rPr>
        <w:t xml:space="preserve">6.5 Department of Defense and Federal Procurement</w:t>
      </w:r>
    </w:p>
    <w:p>
      <w:pPr>
        <w:spacing w:after="200" w:before="0" w:line="276"/>
      </w:pPr>
      <w:r>
        <w:rPr>
          <w:rFonts w:ascii="Arial" w:cs="Arial" w:eastAsia="Arial" w:hAnsi="Arial"/>
          <w:b/>
          <w:bCs/>
          <w:sz w:val="22"/>
          <w:szCs w:val="22"/>
        </w:rPr>
        <w:t xml:space="preserve">Problem: </w:t>
      </w:r>
      <w:r>
        <w:rPr>
          <w:rFonts w:ascii="Arial" w:cs="Arial" w:eastAsia="Arial" w:hAnsi="Arial"/>
          <w:sz w:val="22"/>
          <w:szCs w:val="22"/>
        </w:rPr>
        <w:t xml:space="preserve">Military installations and federal campuses need resilient, independent power. Early advanced-reactor deployments need anchor customers to derisk first builds.</w:t>
      </w:r>
    </w:p>
    <w:p>
      <w:pPr>
        <w:spacing w:after="200" w:before="0" w:line="276"/>
      </w:pPr>
      <w:r>
        <w:rPr>
          <w:rFonts w:ascii="Arial" w:cs="Arial" w:eastAsia="Arial" w:hAnsi="Arial"/>
          <w:b/>
          <w:bCs/>
          <w:sz w:val="22"/>
          <w:szCs w:val="22"/>
        </w:rPr>
        <w:t xml:space="preserve">Policy action: </w:t>
      </w:r>
      <w:r>
        <w:rPr>
          <w:rFonts w:ascii="Arial" w:cs="Arial" w:eastAsia="Arial" w:hAnsi="Arial"/>
          <w:sz w:val="22"/>
          <w:szCs w:val="22"/>
        </w:rPr>
        <w:t xml:space="preserve">Execute the 2028 military installation reactor mandate as a genuine procurement pathway. Use bases and national laboratories as demand anchors. Maintain realistic expectations about bulk-grid contribution.</w:t>
      </w:r>
    </w:p>
    <w:p>
      <w:pPr>
        <w:spacing w:after="200" w:before="0" w:line="276"/>
      </w:pPr>
      <w:r>
        <w:rPr>
          <w:rFonts w:ascii="Arial" w:cs="Arial" w:eastAsia="Arial" w:hAnsi="Arial"/>
          <w:b/>
          <w:bCs/>
          <w:sz w:val="22"/>
          <w:szCs w:val="22"/>
        </w:rPr>
        <w:t xml:space="preserve">Execution implication: </w:t>
      </w:r>
      <w:r>
        <w:rPr>
          <w:rFonts w:ascii="Arial" w:cs="Arial" w:eastAsia="Arial" w:hAnsi="Arial"/>
          <w:sz w:val="22"/>
          <w:szCs w:val="22"/>
        </w:rPr>
        <w:t xml:space="preserve">Military microreactors should not be oversold as a national grid solution. Their value is in resilience, energy security, and procurement experience.</w:t>
      </w:r>
    </w:p>
    <w:p>
      <w:pPr>
        <w:pStyle w:val="Heading3"/>
        <w:spacing w:after="140" w:before="240"/>
      </w:pPr>
      <w:r>
        <w:rPr>
          <w:rFonts w:ascii="Arial" w:cs="Arial" w:eastAsia="Arial" w:hAnsi="Arial"/>
          <w:b/>
          <w:bCs/>
          <w:color w:val="1B2A4A"/>
          <w:sz w:val="24"/>
          <w:szCs w:val="24"/>
        </w:rPr>
        <w:t xml:space="preserve">6.6 State Governments</w:t>
      </w:r>
    </w:p>
    <w:p>
      <w:pPr>
        <w:spacing w:after="200" w:before="0" w:line="276"/>
      </w:pPr>
      <w:r>
        <w:rPr>
          <w:rFonts w:ascii="Arial" w:cs="Arial" w:eastAsia="Arial" w:hAnsi="Arial"/>
          <w:b/>
          <w:bCs/>
          <w:sz w:val="22"/>
          <w:szCs w:val="22"/>
        </w:rPr>
        <w:t xml:space="preserve">Problem: </w:t>
      </w:r>
      <w:r>
        <w:rPr>
          <w:rFonts w:ascii="Arial" w:cs="Arial" w:eastAsia="Arial" w:hAnsi="Arial"/>
          <w:sz w:val="22"/>
          <w:szCs w:val="22"/>
        </w:rPr>
        <w:t xml:space="preserve">Legacy moratoria and duplicative state-level permitting inhibit deployment in states with existing nuclear infrastructure.</w:t>
      </w:r>
    </w:p>
    <w:p>
      <w:pPr>
        <w:spacing w:after="200" w:before="0" w:line="276"/>
      </w:pPr>
      <w:r>
        <w:rPr>
          <w:rFonts w:ascii="Arial" w:cs="Arial" w:eastAsia="Arial" w:hAnsi="Arial"/>
          <w:b/>
          <w:bCs/>
          <w:sz w:val="22"/>
          <w:szCs w:val="22"/>
        </w:rPr>
        <w:t xml:space="preserve">Policy action: </w:t>
      </w:r>
      <w:r>
        <w:rPr>
          <w:rFonts w:ascii="Arial" w:cs="Arial" w:eastAsia="Arial" w:hAnsi="Arial"/>
          <w:sz w:val="22"/>
          <w:szCs w:val="22"/>
        </w:rPr>
        <w:t xml:space="preserve">Repeal remaining moratoria. Align state siting and permitting with federal NRC licensing. Enable cost-recovery mechanisms. Use existing nuclear communities as deployment hubs.</w:t>
      </w:r>
    </w:p>
    <w:p>
      <w:pPr>
        <w:spacing w:after="200" w:before="0" w:line="276"/>
      </w:pPr>
      <w:r>
        <w:rPr>
          <w:rFonts w:ascii="Arial" w:cs="Arial" w:eastAsia="Arial" w:hAnsi="Arial"/>
          <w:b/>
          <w:bCs/>
          <w:sz w:val="22"/>
          <w:szCs w:val="22"/>
        </w:rPr>
        <w:t xml:space="preserve">Execution implication: </w:t>
      </w:r>
      <w:r>
        <w:rPr>
          <w:rFonts w:ascii="Arial" w:cs="Arial" w:eastAsia="Arial" w:hAnsi="Arial"/>
          <w:sz w:val="22"/>
          <w:szCs w:val="22"/>
        </w:rPr>
        <w:t xml:space="preserve">States with trained nuclear workforces, transmission infrastructure, and community acceptance are the lowest-risk deployment environments.</w:t>
      </w:r>
    </w:p>
    <w:p>
      <w:pPr>
        <w:spacing w:after="200" w:before="0" w:line="276"/>
      </w:pPr>
      <w:r>
        <w:rPr>
          <w:rFonts w:ascii="Arial" w:cs="Arial" w:eastAsia="Arial" w:hAnsi="Arial"/>
          <w:b/>
          <w:bCs/>
          <w:sz w:val="22"/>
          <w:szCs w:val="22"/>
        </w:rPr>
        <w:t xml:space="preserve">A credible U.S. nuclear policy is not a single statute or technology bet. It is a coordinated sequence across regulation, fuel, finance, transmission, procurement, and workforce development.</w:t>
      </w:r>
    </w:p>
    <w:p>
      <w:r>
        <w:br w:type="page"/>
      </w:r>
    </w:p>
    <w:p>
      <w:pPr>
        <w:pStyle w:val="Heading1"/>
        <w:spacing w:after="240" w:before="360"/>
      </w:pPr>
      <w:r>
        <w:rPr>
          <w:rFonts w:ascii="Arial" w:cs="Arial" w:eastAsia="Arial" w:hAnsi="Arial"/>
          <w:b/>
          <w:bCs/>
          <w:color w:val="1B2A4A"/>
          <w:sz w:val="32"/>
          <w:szCs w:val="32"/>
        </w:rPr>
        <w:t xml:space="preserve">Section VII — Implementation Timeline</w:t>
      </w:r>
    </w:p>
    <w:p>
      <w:pPr>
        <w:spacing w:after="200" w:before="0" w:line="276"/>
      </w:pPr>
      <w:r>
        <w:rPr>
          <w:rFonts w:ascii="Arial" w:cs="Arial" w:eastAsia="Arial" w:hAnsi="Arial"/>
          <w:sz w:val="22"/>
          <w:szCs w:val="22"/>
        </w:rPr>
        <w:t xml:space="preserve">Deployment sequencing should be tied to execution maturity, not aspiration.</w:t>
      </w:r>
    </w:p>
    <w:p>
      <w:pPr>
        <w:pStyle w:val="Heading2"/>
        <w:spacing w:after="180" w:before="280"/>
      </w:pPr>
      <w:r>
        <w:rPr>
          <w:rFonts w:ascii="Arial" w:cs="Arial" w:eastAsia="Arial" w:hAnsi="Arial"/>
          <w:b/>
          <w:bCs/>
          <w:color w:val="1B2A4A"/>
          <w:sz w:val="26"/>
          <w:szCs w:val="26"/>
        </w:rPr>
        <w:t xml:space="preserve">0–3 Years (2026–2029)</w:t>
      </w:r>
    </w:p>
    <w:p>
      <w:pPr>
        <w:spacing w:after="200" w:before="0" w:line="276"/>
      </w:pPr>
      <w:r>
        <w:rPr>
          <w:rFonts w:ascii="Arial" w:cs="Arial" w:eastAsia="Arial" w:hAnsi="Arial"/>
          <w:sz w:val="22"/>
          <w:szCs w:val="22"/>
        </w:rPr>
        <w:t xml:space="preserve">Preserve the existing fleet through subsequent license renewals and economic support under Section 45U.</w:t>
      </w:r>
      <w:r>
        <w:rPr>
          <w:rFonts w:ascii="Arial" w:cs="Arial" w:eastAsia="Arial" w:hAnsi="Arial"/>
          <w:color w:val="1B2A4A"/>
          <w:sz w:val="16"/>
          <w:szCs w:val="16"/>
          <w:vertAlign w:val="superscript"/>
        </w:rPr>
        <w:t xml:space="preserve">19,20</w:t>
      </w:r>
      <w:r>
        <w:rPr>
          <w:rFonts w:ascii="Arial" w:cs="Arial" w:eastAsia="Arial" w:hAnsi="Arial"/>
          <w:sz w:val="22"/>
          <w:szCs w:val="22"/>
        </w:rPr>
        <w:t xml:space="preserve"> Execute plant restarts at Palisades (2026) and TMI-1 (2027).</w:t>
      </w:r>
      <w:r>
        <w:rPr>
          <w:rFonts w:ascii="Arial" w:cs="Arial" w:eastAsia="Arial" w:hAnsi="Arial"/>
          <w:color w:val="1B2A4A"/>
          <w:sz w:val="16"/>
          <w:szCs w:val="16"/>
          <w:vertAlign w:val="superscript"/>
        </w:rPr>
        <w:t xml:space="preserve">21,22</w:t>
      </w:r>
      <w:r>
        <w:rPr>
          <w:rFonts w:ascii="Arial" w:cs="Arial" w:eastAsia="Arial" w:hAnsi="Arial"/>
          <w:sz w:val="22"/>
          <w:szCs w:val="22"/>
        </w:rPr>
        <w:t xml:space="preserve"> Scale HALEU fuel production through DOE contracts.</w:t>
      </w:r>
      <w:r>
        <w:rPr>
          <w:rFonts w:ascii="Arial" w:cs="Arial" w:eastAsia="Arial" w:hAnsi="Arial"/>
          <w:color w:val="1B2A4A"/>
          <w:sz w:val="16"/>
          <w:szCs w:val="16"/>
          <w:vertAlign w:val="superscript"/>
        </w:rPr>
        <w:t xml:space="preserve">41</w:t>
      </w:r>
      <w:r>
        <w:rPr>
          <w:rFonts w:ascii="Arial" w:cs="Arial" w:eastAsia="Arial" w:hAnsi="Arial"/>
          <w:sz w:val="22"/>
          <w:szCs w:val="22"/>
        </w:rPr>
        <w:t xml:space="preserve"> Implement ADVANCE Act fee reductions and NRC hiring authority.</w:t>
      </w:r>
      <w:r>
        <w:rPr>
          <w:rFonts w:ascii="Arial" w:cs="Arial" w:eastAsia="Arial" w:hAnsi="Arial"/>
          <w:color w:val="1B2A4A"/>
          <w:sz w:val="16"/>
          <w:szCs w:val="16"/>
          <w:vertAlign w:val="superscript"/>
        </w:rPr>
        <w:t xml:space="preserve">42</w:t>
      </w:r>
      <w:r>
        <w:rPr>
          <w:rFonts w:ascii="Arial" w:cs="Arial" w:eastAsia="Arial" w:hAnsi="Arial"/>
          <w:sz w:val="22"/>
          <w:szCs w:val="22"/>
        </w:rPr>
        <w:t xml:space="preserve"> Resolve co-location regulatory frameworks at FERC.</w:t>
      </w:r>
      <w:r>
        <w:rPr>
          <w:rFonts w:ascii="Arial" w:cs="Arial" w:eastAsia="Arial" w:hAnsi="Arial"/>
          <w:color w:val="1B2A4A"/>
          <w:sz w:val="16"/>
          <w:szCs w:val="16"/>
          <w:vertAlign w:val="superscript"/>
        </w:rPr>
        <w:t xml:space="preserve">27</w:t>
      </w:r>
      <w:r>
        <w:rPr>
          <w:rFonts w:ascii="Arial" w:cs="Arial" w:eastAsia="Arial" w:hAnsi="Arial"/>
          <w:sz w:val="22"/>
          <w:szCs w:val="22"/>
        </w:rPr>
        <w:t xml:space="preserve"> Begin workforce pipeline expansion tied to specific project timelines.</w:t>
      </w:r>
    </w:p>
    <w:p>
      <w:pPr>
        <w:spacing w:after="200" w:before="0" w:line="276"/>
      </w:pPr>
      <w:r>
        <w:rPr>
          <w:rFonts w:ascii="Arial" w:cs="Arial" w:eastAsia="Arial" w:hAnsi="Arial"/>
          <w:b/>
          <w:bCs/>
          <w:sz w:val="22"/>
          <w:szCs w:val="22"/>
        </w:rPr>
        <w:t xml:space="preserve">Benchmark: </w:t>
      </w:r>
      <w:r>
        <w:rPr>
          <w:rFonts w:ascii="Arial" w:cs="Arial" w:eastAsia="Arial" w:hAnsi="Arial"/>
          <w:sz w:val="22"/>
          <w:szCs w:val="22"/>
        </w:rPr>
        <w:t xml:space="preserve">By end of 2029, the existing fleet should have materially expanded 80-year operating commitments where technically and regulatorily justified, both restart plants should be operational, and HALEU production should be scaling toward quantities needed for first advanced-reactor fuel loads.</w:t>
      </w:r>
    </w:p>
    <w:p>
      <w:pPr>
        <w:pStyle w:val="Heading2"/>
        <w:spacing w:after="180" w:before="280"/>
      </w:pPr>
      <w:r>
        <w:rPr>
          <w:rFonts w:ascii="Arial" w:cs="Arial" w:eastAsia="Arial" w:hAnsi="Arial"/>
          <w:b/>
          <w:bCs/>
          <w:color w:val="1B2A4A"/>
          <w:sz w:val="26"/>
          <w:szCs w:val="26"/>
        </w:rPr>
        <w:t xml:space="preserve">3–7 Years (2029–2033)</w:t>
      </w:r>
    </w:p>
    <w:p>
      <w:pPr>
        <w:spacing w:after="200" w:before="0" w:line="276"/>
      </w:pPr>
      <w:r>
        <w:rPr>
          <w:rFonts w:ascii="Arial" w:cs="Arial" w:eastAsia="Arial" w:hAnsi="Arial"/>
          <w:sz w:val="22"/>
          <w:szCs w:val="22"/>
        </w:rPr>
        <w:t xml:space="preserve">Deliver first repeatable advanced-reactor projects: TerraPower Natrium (approximately 2031), Kairos Hermes 2 (approximately 2030), BWRX-300 at Clinch River (approximately 2033), subject to fuel, licensing, and construction performance.</w:t>
      </w:r>
      <w:r>
        <w:rPr>
          <w:rFonts w:ascii="Arial" w:cs="Arial" w:eastAsia="Arial" w:hAnsi="Arial"/>
          <w:color w:val="1B2A4A"/>
          <w:sz w:val="16"/>
          <w:szCs w:val="16"/>
          <w:vertAlign w:val="superscript"/>
        </w:rPr>
        <w:t xml:space="preserve">28,29,31</w:t>
      </w:r>
      <w:r>
        <w:rPr>
          <w:rFonts w:ascii="Arial" w:cs="Arial" w:eastAsia="Arial" w:hAnsi="Arial"/>
          <w:sz w:val="22"/>
          <w:szCs w:val="22"/>
        </w:rPr>
        <w:t xml:space="preserve"> Validate FOAK-to-NOAK cost trajectories with empirical construction data. Expand Tier 2 brownfield deployments. Establish HALEU commercial-scale enrichment sufficient to support a multi-project fuel pipeline. Implement FERC Order 1920 long-term transmission planning with nuclear deployment scenarios.</w:t>
      </w:r>
      <w:r>
        <w:rPr>
          <w:rFonts w:ascii="Arial" w:cs="Arial" w:eastAsia="Arial" w:hAnsi="Arial"/>
          <w:color w:val="1B2A4A"/>
          <w:sz w:val="16"/>
          <w:szCs w:val="16"/>
          <w:vertAlign w:val="superscript"/>
        </w:rPr>
        <w:t xml:space="preserve">17</w:t>
      </w:r>
    </w:p>
    <w:p>
      <w:pPr>
        <w:spacing w:after="200" w:before="0" w:line="276"/>
      </w:pPr>
      <w:r>
        <w:rPr>
          <w:rFonts w:ascii="Arial" w:cs="Arial" w:eastAsia="Arial" w:hAnsi="Arial"/>
          <w:b/>
          <w:bCs/>
          <w:sz w:val="22"/>
          <w:szCs w:val="22"/>
        </w:rPr>
        <w:t xml:space="preserve">Benchmark: </w:t>
      </w:r>
      <w:r>
        <w:rPr>
          <w:rFonts w:ascii="Arial" w:cs="Arial" w:eastAsia="Arial" w:hAnsi="Arial"/>
          <w:sz w:val="22"/>
          <w:szCs w:val="22"/>
        </w:rPr>
        <w:t xml:space="preserve">The goal should be to have at least two advanced-reactor designs operating or in final commissioning, subject to fuel, licensing, and construction performance. Empirical cost and schedule data should be available to evaluate NOAK economics.</w:t>
      </w:r>
    </w:p>
    <w:p>
      <w:pPr>
        <w:pStyle w:val="Heading2"/>
        <w:spacing w:after="180" w:before="280"/>
      </w:pPr>
      <w:r>
        <w:rPr>
          <w:rFonts w:ascii="Arial" w:cs="Arial" w:eastAsia="Arial" w:hAnsi="Arial"/>
          <w:b/>
          <w:bCs/>
          <w:color w:val="1B2A4A"/>
          <w:sz w:val="26"/>
          <w:szCs w:val="26"/>
        </w:rPr>
        <w:t xml:space="preserve">7–10 Years (2033–2036)</w:t>
      </w:r>
    </w:p>
    <w:p>
      <w:pPr>
        <w:spacing w:after="200" w:before="0" w:line="276"/>
      </w:pPr>
      <w:r>
        <w:rPr>
          <w:rFonts w:ascii="Arial" w:cs="Arial" w:eastAsia="Arial" w:hAnsi="Arial"/>
          <w:sz w:val="22"/>
          <w:szCs w:val="22"/>
        </w:rPr>
        <w:t xml:space="preserve">Scale only where proven. Expand deployment of designs that have demonstrated repeatable construction cost and schedule performance. Retire assumptions based on projected NOAK economics in favor of validated data.</w:t>
      </w:r>
    </w:p>
    <w:p>
      <w:pPr>
        <w:spacing w:after="200" w:before="0" w:line="276"/>
      </w:pPr>
      <w:r>
        <w:rPr>
          <w:rFonts w:ascii="Arial" w:cs="Arial" w:eastAsia="Arial" w:hAnsi="Arial"/>
          <w:b/>
          <w:bCs/>
          <w:sz w:val="22"/>
          <w:szCs w:val="22"/>
        </w:rPr>
        <w:t xml:space="preserve">Deployment beyond early projects should be contingent on demonstrated cost control and repeatability.</w:t>
      </w:r>
    </w:p>
    <w:p>
      <w:pPr>
        <w:spacing w:after="200" w:before="0" w:line="276"/>
      </w:pPr>
      <w:r>
        <w:rPr>
          <w:rFonts w:ascii="Arial" w:cs="Arial" w:eastAsia="Arial" w:hAnsi="Arial"/>
          <w:b/>
          <w:bCs/>
          <w:sz w:val="22"/>
          <w:szCs w:val="22"/>
        </w:rPr>
        <w:t xml:space="preserve">Sequencing errors—deploying capital ahead of fuel availability, regulatory readiness, or workforce capacity—represent a primary failure mode in nuclear expansion.</w:t>
      </w:r>
    </w:p>
    <w:p>
      <w:pPr>
        <w:spacing w:after="200" w:before="0" w:line="276"/>
      </w:pPr>
      <w:r>
        <w:rPr>
          <w:rFonts w:ascii="Arial" w:cs="Arial" w:eastAsia="Arial" w:hAnsi="Arial"/>
          <w:b/>
          <w:bCs/>
          <w:sz w:val="22"/>
          <w:szCs w:val="22"/>
        </w:rPr>
        <w:t xml:space="preserve">Policy implication: </w:t>
      </w:r>
      <w:r>
        <w:rPr>
          <w:rFonts w:ascii="Arial" w:cs="Arial" w:eastAsia="Arial" w:hAnsi="Arial"/>
          <w:sz w:val="22"/>
          <w:szCs w:val="22"/>
        </w:rPr>
        <w:t xml:space="preserve">The implementation sequence should follow evidence, not aspiration. Tier 1 actions offer the strongest near-term capacity preservation and restoration pathway. Tier 2 and Tier 3 should be sequenced based on demonstrated execution, not projected economics.</w:t>
      </w:r>
    </w:p>
    <w:p>
      <w:r>
        <w:br w:type="page"/>
      </w:r>
    </w:p>
    <w:p>
      <w:pPr>
        <w:pStyle w:val="Heading1"/>
        <w:spacing w:after="240" w:before="360"/>
      </w:pPr>
      <w:r>
        <w:rPr>
          <w:rFonts w:ascii="Arial" w:cs="Arial" w:eastAsia="Arial" w:hAnsi="Arial"/>
          <w:b/>
          <w:bCs/>
          <w:color w:val="1B2A4A"/>
          <w:sz w:val="32"/>
          <w:szCs w:val="32"/>
        </w:rPr>
        <w:t xml:space="preserve">Section VIII — Scope Limitations and Explicit Non-Claims</w:t>
      </w:r>
    </w:p>
    <w:p>
      <w:pPr>
        <w:spacing w:after="120" w:line="276"/>
        <w:ind w:left="360" w:hanging="360"/>
      </w:pPr>
      <w:r>
        <w:rPr>
          <w:rFonts w:ascii="Arial" w:hAnsi="Arial"/>
          <w:sz w:val="44"/>
          <w:color w:val="8B6914"/>
        </w:rPr>
        <w:t xml:space="preserve">•  </w:t>
      </w:r>
      <w:r>
        <w:rPr>
          <w:rFonts w:ascii="Arial" w:hAnsi="Arial"/>
          <w:sz w:val="44"/>
          <w:color w:val="1B2A4A"/>
        </w:rPr>
        <w:t xml:space="preserve">This paper does not include cost-benefit modeling, grid dispatch simulation, or capacity expansion optimization. Cost figures cited (e.g., Vogtle, HALEU contracts, Lazard LCOE) are from published sources, not independent modeling.</w:t>
      </w:r>
    </w:p>
    <w:p>
      <w:pPr>
        <w:spacing w:after="120" w:line="276"/>
        <w:ind w:left="360" w:hanging="360"/>
      </w:pPr>
      <w:r>
        <w:rPr>
          <w:rFonts w:ascii="Arial" w:hAnsi="Arial"/>
          <w:sz w:val="44"/>
          <w:color w:val="8B6914"/>
        </w:rPr>
        <w:t xml:space="preserve">•  </w:t>
      </w:r>
      <w:r>
        <w:rPr>
          <w:rFonts w:ascii="Arial" w:hAnsi="Arial"/>
          <w:sz w:val="44"/>
          <w:color w:val="1B2A4A"/>
        </w:rPr>
        <w:t xml:space="preserve">This paper does not conduct proliferation risk analysis. The relationship between civil nuclear expansion and weapons-proliferation pathways is acknowledged but not assessed.</w:t>
      </w:r>
    </w:p>
    <w:p>
      <w:pPr>
        <w:spacing w:after="120" w:line="276"/>
        <w:ind w:left="360" w:hanging="360"/>
      </w:pPr>
      <w:r>
        <w:rPr>
          <w:rFonts w:ascii="Arial" w:hAnsi="Arial"/>
          <w:sz w:val="44"/>
          <w:color w:val="8B6914"/>
        </w:rPr>
        <w:t>•  This paper does not propose a nuclear waste disposal policy. The absence of a durable spent-fuel disposal pathway is acknowledged as a material constraint; consent-based siting, interim consolidated storage, and Yucca Mountain revival are each viable approaches that require dedicated analysis beyond this paper’s scope. This paper does not propose a specific disposal pathway, but notes that three approaches remain under active consideration: revival of the Yucca Mountain repository (legislatively authorized but politically stalled), consent-based siting under DOE’s 2023 framework (which seeks willing host communities), and interim consolidated storage at licensed facilities (Holtec’s New Mexico and ISP’s Texas applications). Each approach faces distinct political, regulatory, and technical constraints. What is clear is that continued reliance on at-reactor storage, while technically safe to date, does not constitute a durable national policy and becomes less tenable as the fleet expands. Any serious nuclear expansion strategy must include a funded disposal pathway—not because the waste problem is unsolvable, but because leaving it unaddressed provides the most durable political objection to expansion.</w:t>
      </w:r>
      <w:r>
        <w:rPr>
          <w:rFonts w:ascii="Arial" w:hAnsi="Arial"/>
          <w:sz w:val="44"/>
          <w:color w:val="1B2A4A"/>
        </w:rPr>
      </w:r>
    </w:p>
    <w:p>
      <w:pPr>
        <w:spacing w:after="120" w:line="276"/>
        <w:ind w:left="360" w:hanging="360"/>
      </w:pPr>
      <w:r>
        <w:rPr>
          <w:rFonts w:ascii="Arial" w:hAnsi="Arial"/>
          <w:sz w:val="44"/>
          <w:color w:val="8B6914"/>
        </w:rPr>
        <w:t xml:space="preserve">•  </w:t>
      </w:r>
      <w:r>
        <w:rPr>
          <w:rFonts w:ascii="Arial" w:hAnsi="Arial"/>
          <w:sz w:val="44"/>
          <w:color w:val="1B2A4A"/>
        </w:rPr>
        <w:t xml:space="preserve">HALEU production ramp estimates are derived from Centrus SEC filings and DOE program descriptions. Commercial-scale production timelines are uncertain and should be treated as estimates, not commitments.</w:t>
      </w:r>
    </w:p>
    <w:p>
      <w:pPr>
        <w:spacing w:after="120" w:line="276"/>
        <w:ind w:left="360" w:hanging="360"/>
      </w:pPr>
      <w:r>
        <w:rPr>
          <w:rFonts w:ascii="Arial" w:hAnsi="Arial"/>
          <w:sz w:val="44"/>
          <w:color w:val="8B6914"/>
        </w:rPr>
        <w:t xml:space="preserve">•  </w:t>
      </w:r>
      <w:r>
        <w:rPr>
          <w:rFonts w:ascii="Arial" w:hAnsi="Arial"/>
          <w:sz w:val="44"/>
          <w:color w:val="1B2A4A"/>
        </w:rPr>
        <w:t xml:space="preserve">Rosatom’s market share in enrichment services is based on publicly available data including IAEA, OECD-NEA, and industry reporting. Some figures may reflect Russian government or industry self-reporting.</w:t>
      </w:r>
    </w:p>
    <w:p>
      <w:pPr>
        <w:spacing w:after="120" w:line="276"/>
        <w:ind w:left="360" w:hanging="360"/>
      </w:pPr>
      <w:r>
        <w:rPr>
          <w:rFonts w:ascii="Arial" w:hAnsi="Arial"/>
          <w:sz w:val="44"/>
          <w:color w:val="8B6914"/>
        </w:rPr>
        <w:t xml:space="preserve">•  </w:t>
      </w:r>
      <w:r>
        <w:rPr>
          <w:rFonts w:ascii="Arial" w:hAnsi="Arial"/>
          <w:sz w:val="44"/>
          <w:color w:val="1B2A4A"/>
        </w:rPr>
        <w:t xml:space="preserve">Safety mortality comparisons rely primarily on Markandya &amp; Wilkinson (2007, Lancet), supplemented by Our World in Data (2024) methodology updates. These figures predate some changes in renewable deployment safety profiles but remain the most widely cited peer-reviewed comparison.</w:t>
      </w:r>
    </w:p>
    <w:p>
      <w:pPr>
        <w:spacing w:after="120" w:line="276"/>
        <w:ind w:left="360" w:hanging="360"/>
      </w:pPr>
      <w:r>
        <w:rPr>
          <w:rFonts w:ascii="Arial" w:hAnsi="Arial"/>
          <w:sz w:val="44"/>
          <w:color w:val="8B6914"/>
        </w:rPr>
        <w:t xml:space="preserve">•  </w:t>
      </w:r>
      <w:r>
        <w:rPr>
          <w:rFonts w:ascii="Arial" w:hAnsi="Arial"/>
          <w:sz w:val="44"/>
          <w:color w:val="1B2A4A"/>
        </w:rPr>
        <w:t xml:space="preserve">The strategic competition discussion (Appendix B) is deliberately limited to framing context. A full assessment of U.S. 123 Agreement competitiveness, export strategy adequacy, and civil nuclear dynamics with Saudi Arabia, South Korea, and India is beyond scope.</w:t>
      </w:r>
    </w:p>
    <w:p>
      <w:pPr>
        <w:spacing w:after="120" w:line="276"/>
        <w:ind w:left="360" w:hanging="360"/>
      </w:pPr>
      <w:r>
        <w:rPr>
          <w:rFonts w:ascii="Arial" w:hAnsi="Arial"/>
          <w:sz w:val="44"/>
          <w:color w:val="8B6914"/>
        </w:rPr>
        <w:t xml:space="preserve">•  </w:t>
      </w:r>
      <w:r>
        <w:rPr>
          <w:rFonts w:ascii="Arial" w:hAnsi="Arial"/>
          <w:sz w:val="44"/>
          <w:color w:val="1B2A4A"/>
        </w:rPr>
        <w:t xml:space="preserve">This paper does not rely on classified sources or non-public government information. All claims are derived from publicly available sources as documented in the endnotes.</w:t>
      </w:r>
    </w:p>
    <w:p>
      <w:pPr>
        <w:spacing w:after="120" w:line="276"/>
        <w:ind w:left="360" w:hanging="360"/>
      </w:pPr>
      <w:r>
        <w:rPr>
          <w:rFonts w:ascii="Arial" w:hAnsi="Arial"/>
          <w:sz w:val="44"/>
          <w:color w:val="8B6914"/>
        </w:rPr>
        <w:t xml:space="preserve">•  </w:t>
      </w:r>
      <w:r>
        <w:rPr>
          <w:rFonts w:ascii="Arial" w:hAnsi="Arial"/>
          <w:sz w:val="44"/>
          <w:color w:val="1B2A4A"/>
        </w:rPr>
        <w:t xml:space="preserve">Quantitative benchmarks in Section VII are proposed policy targets, not predictions. Derivation basis is stated in the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1"/>
              <w:left w:val="single" w:color="8B6914" w:sz="1"/>
              <w:bottom w:val="single" w:color="8B6914" w:sz="1"/>
              <w:right w:val="single" w:color="8B6914" w:sz="1"/>
            </w:tcBorders>
            <w:shd w:fill="8B6914" w:val="clear"/>
            <w:tcMar>
              <w:top w:type="dxa" w:w="80"/>
              <w:left w:type="dxa" w:w="160"/>
              <w:bottom w:type="dxa" w:w="80"/>
              <w:right w:type="dxa" w:w="160"/>
            </w:tcMar>
          </w:tcPr>
          <w:p>
            <w:pPr>
              <w:spacing w:after="0"/>
            </w:pPr>
            <w:r>
              <w:rPr>
                <w:rFonts w:ascii="Arial" w:cs="Arial" w:eastAsia="Arial" w:hAnsi="Arial"/>
                <w:b/>
                <w:bCs/>
                <w:color w:val="FFFFFF"/>
                <w:sz w:val="20"/>
                <w:szCs w:val="20"/>
              </w:rPr>
              <w:t xml:space="preserve">SCOPE LIMITATIONS AND EXPLICIT NON-CLAIMS</w:t>
            </w:r>
          </w:p>
        </w:tc>
      </w:tr>
      <w:tr>
        <w:tc>
          <w:tcPr>
            <w:tcW w:type="dxa" w:w="9360"/>
            <w:tcBorders>
              <w:top w:val="single" w:color="8B6914" w:sz="1"/>
              <w:left w:val="single" w:color="8B6914" w:sz="1"/>
              <w:bottom w:val="single" w:color="8B6914" w:sz="1"/>
              <w:right w:val="single" w:color="8B6914" w:sz="1"/>
            </w:tcBorders>
            <w:shd w:fill="FDF8EF" w:val="clear"/>
            <w:tcMar>
              <w:top w:type="dxa" w:w="60"/>
              <w:left w:type="dxa" w:w="160"/>
              <w:bottom w:type="dxa" w:w="60"/>
              <w:right w:type="dxa" w:w="160"/>
            </w:tcMar>
          </w:tcPr>
          <w:p>
            <w:pPr>
              <w:spacing w:after="0"/>
            </w:pPr>
            <w:r>
              <w:rPr>
                <w:rFonts w:ascii="Arial" w:cs="Arial" w:eastAsia="Arial" w:hAnsi="Arial"/>
                <w:color w:val="8B6914"/>
                <w:sz w:val="22"/>
                <w:szCs w:val="22"/>
              </w:rPr>
              <w:t xml:space="preserve">• </w:t>
            </w:r>
            <w:r>
              <w:rPr>
                <w:rFonts w:ascii="Arial" w:cs="Arial" w:eastAsia="Arial" w:hAnsi="Arial"/>
                <w:color w:val="1B2A4A"/>
                <w:sz w:val="22"/>
                <w:szCs w:val="22"/>
              </w:rPr>
              <w:t xml:space="preserve">This paper does not argue that nuclear alone can meet all future U.S. load growth.</w:t>
            </w:r>
          </w:p>
        </w:tc>
      </w:tr>
      <w:tr>
        <w:tc>
          <w:tcPr>
            <w:tcW w:type="dxa" w:w="9360"/>
            <w:tcBorders>
              <w:top w:val="single" w:color="8B6914" w:sz="1"/>
              <w:left w:val="single" w:color="8B6914" w:sz="1"/>
              <w:bottom w:val="single" w:color="8B6914" w:sz="1"/>
              <w:right w:val="single" w:color="8B6914" w:sz="1"/>
            </w:tcBorders>
            <w:shd w:fill="FDF8EF" w:val="clear"/>
            <w:tcMar>
              <w:top w:type="dxa" w:w="60"/>
              <w:left w:type="dxa" w:w="160"/>
              <w:bottom w:type="dxa" w:w="60"/>
              <w:right w:type="dxa" w:w="160"/>
            </w:tcMar>
          </w:tcPr>
          <w:p>
            <w:pPr>
              <w:spacing w:after="0"/>
            </w:pPr>
            <w:r>
              <w:rPr>
                <w:rFonts w:ascii="Arial" w:cs="Arial" w:eastAsia="Arial" w:hAnsi="Arial"/>
                <w:color w:val="8B6914"/>
                <w:sz w:val="22"/>
                <w:szCs w:val="22"/>
              </w:rPr>
              <w:t xml:space="preserve">• </w:t>
            </w:r>
            <w:r>
              <w:rPr>
                <w:rFonts w:ascii="Arial" w:cs="Arial" w:eastAsia="Arial" w:hAnsi="Arial"/>
                <w:color w:val="1B2A4A"/>
                <w:sz w:val="22"/>
                <w:szCs w:val="22"/>
              </w:rPr>
              <w:t xml:space="preserve">It does not argue that nuclear can replace natural gas in the near term. Gas will remain the dominant dispatchable resource for the foreseeable future.</w:t>
            </w:r>
          </w:p>
        </w:tc>
      </w:tr>
      <w:tr>
        <w:tc>
          <w:tcPr>
            <w:tcW w:type="dxa" w:w="9360"/>
            <w:tcBorders>
              <w:top w:val="single" w:color="8B6914" w:sz="1"/>
              <w:left w:val="single" w:color="8B6914" w:sz="1"/>
              <w:bottom w:val="single" w:color="8B6914" w:sz="1"/>
              <w:right w:val="single" w:color="8B6914" w:sz="1"/>
            </w:tcBorders>
            <w:shd w:fill="FDF8EF" w:val="clear"/>
            <w:tcMar>
              <w:top w:type="dxa" w:w="60"/>
              <w:left w:type="dxa" w:w="160"/>
              <w:bottom w:type="dxa" w:w="60"/>
              <w:right w:type="dxa" w:w="160"/>
            </w:tcMar>
          </w:tcPr>
          <w:p>
            <w:pPr>
              <w:spacing w:after="0"/>
            </w:pPr>
            <w:r>
              <w:rPr>
                <w:rFonts w:ascii="Arial" w:cs="Arial" w:eastAsia="Arial" w:hAnsi="Arial"/>
                <w:color w:val="8B6914"/>
                <w:sz w:val="22"/>
                <w:szCs w:val="22"/>
              </w:rPr>
              <w:t xml:space="preserve">• </w:t>
            </w:r>
            <w:r>
              <w:rPr>
                <w:rFonts w:ascii="Arial" w:cs="Arial" w:eastAsia="Arial" w:hAnsi="Arial"/>
                <w:color w:val="1B2A4A"/>
                <w:sz w:val="22"/>
                <w:szCs w:val="22"/>
              </w:rPr>
              <w:t xml:space="preserve">It does not argue that all advanced-reactor designs are commercially ready. Most are not yet validated at scale.</w:t>
            </w:r>
          </w:p>
        </w:tc>
      </w:tr>
      <w:tr>
        <w:tc>
          <w:tcPr>
            <w:tcW w:type="dxa" w:w="9360"/>
            <w:tcBorders>
              <w:top w:val="single" w:color="8B6914" w:sz="1"/>
              <w:left w:val="single" w:color="8B6914" w:sz="1"/>
              <w:bottom w:val="single" w:color="8B6914" w:sz="1"/>
              <w:right w:val="single" w:color="8B6914" w:sz="1"/>
            </w:tcBorders>
            <w:shd w:fill="FDF8EF" w:val="clear"/>
            <w:tcMar>
              <w:top w:type="dxa" w:w="60"/>
              <w:left w:type="dxa" w:w="160"/>
              <w:bottom w:type="dxa" w:w="60"/>
              <w:right w:type="dxa" w:w="160"/>
            </w:tcMar>
          </w:tcPr>
          <w:p>
            <w:pPr>
              <w:spacing w:after="0"/>
            </w:pPr>
            <w:r>
              <w:rPr>
                <w:rFonts w:ascii="Arial" w:cs="Arial" w:eastAsia="Arial" w:hAnsi="Arial"/>
                <w:color w:val="8B6914"/>
                <w:sz w:val="22"/>
                <w:szCs w:val="22"/>
              </w:rPr>
              <w:t xml:space="preserve">• </w:t>
            </w:r>
            <w:r>
              <w:rPr>
                <w:rFonts w:ascii="Arial" w:cs="Arial" w:eastAsia="Arial" w:hAnsi="Arial"/>
                <w:color w:val="1B2A4A"/>
                <w:sz w:val="22"/>
                <w:szCs w:val="22"/>
              </w:rPr>
              <w:t xml:space="preserve">It does not argue that transmission expansion can be deferred. Grid modernization is a necessary parallel investment.</w:t>
            </w:r>
          </w:p>
        </w:tc>
      </w:tr>
      <w:tr>
        <w:tc>
          <w:tcPr>
            <w:tcW w:type="dxa" w:w="9360"/>
            <w:tcBorders>
              <w:top w:val="single" w:color="8B6914" w:sz="1"/>
              <w:left w:val="single" w:color="8B6914" w:sz="1"/>
              <w:bottom w:val="single" w:color="8B6914" w:sz="1"/>
              <w:right w:val="single" w:color="8B6914" w:sz="1"/>
            </w:tcBorders>
            <w:shd w:fill="FDF8EF" w:val="clear"/>
            <w:tcMar>
              <w:top w:type="dxa" w:w="60"/>
              <w:left w:type="dxa" w:w="160"/>
              <w:bottom w:type="dxa" w:w="60"/>
              <w:right w:type="dxa" w:w="160"/>
            </w:tcMar>
          </w:tcPr>
          <w:p>
            <w:pPr>
              <w:spacing w:after="0"/>
            </w:pPr>
            <w:r>
              <w:rPr>
                <w:rFonts w:ascii="Arial" w:cs="Arial" w:eastAsia="Arial" w:hAnsi="Arial"/>
                <w:color w:val="8B6914"/>
                <w:sz w:val="22"/>
                <w:szCs w:val="22"/>
              </w:rPr>
              <w:t xml:space="preserve">• </w:t>
            </w:r>
            <w:r>
              <w:rPr>
                <w:rFonts w:ascii="Arial" w:cs="Arial" w:eastAsia="Arial" w:hAnsi="Arial"/>
                <w:color w:val="1B2A4A"/>
                <w:sz w:val="22"/>
                <w:szCs w:val="22"/>
              </w:rPr>
              <w:t xml:space="preserve">It does not argue that nuclear waste disposition is politically resolved. Spent-fuel management is technically manageable but institutionally unresolved.</w:t>
            </w:r>
          </w:p>
        </w:tc>
      </w:tr>
      <w:tr>
        <w:tc>
          <w:tcPr>
            <w:tcW w:type="dxa" w:w="9360"/>
            <w:tcBorders>
              <w:top w:val="single" w:color="8B6914" w:sz="1"/>
              <w:left w:val="single" w:color="8B6914" w:sz="1"/>
              <w:bottom w:val="single" w:color="8B6914" w:sz="1"/>
              <w:right w:val="single" w:color="8B6914" w:sz="1"/>
            </w:tcBorders>
            <w:shd w:fill="FDF8EF" w:val="clear"/>
            <w:tcMar>
              <w:top w:type="dxa" w:w="60"/>
              <w:left w:type="dxa" w:w="160"/>
              <w:bottom w:type="dxa" w:w="60"/>
              <w:right w:type="dxa" w:w="160"/>
            </w:tcMar>
          </w:tcPr>
          <w:p>
            <w:pPr>
              <w:spacing w:after="0"/>
            </w:pPr>
            <w:r>
              <w:rPr>
                <w:rFonts w:ascii="Arial" w:cs="Arial" w:eastAsia="Arial" w:hAnsi="Arial"/>
                <w:color w:val="8B6914"/>
                <w:sz w:val="22"/>
                <w:szCs w:val="22"/>
              </w:rPr>
              <w:t xml:space="preserve">• </w:t>
            </w:r>
            <w:r>
              <w:rPr>
                <w:rFonts w:ascii="Arial" w:cs="Arial" w:eastAsia="Arial" w:hAnsi="Arial"/>
                <w:color w:val="1B2A4A"/>
                <w:sz w:val="22"/>
                <w:szCs w:val="22"/>
              </w:rPr>
              <w:t xml:space="preserve">It does not argue against renewable deployment. Variable generation and firm clean capacity serve different system functions.</w:t>
            </w:r>
          </w:p>
        </w:tc>
      </w:tr>
      <w:tr>
        <w:tc>
          <w:tcPr>
            <w:tcW w:type="dxa" w:w="9360"/>
            <w:tcBorders>
              <w:top w:val="single" w:color="8B6914" w:sz="1"/>
              <w:left w:val="single" w:color="8B6914" w:sz="1"/>
              <w:bottom w:val="single" w:color="8B6914" w:sz="1"/>
              <w:right w:val="single" w:color="8B6914" w:sz="1"/>
            </w:tcBorders>
            <w:shd w:fill="FDF8EF" w:val="clear"/>
            <w:tcMar>
              <w:top w:type="dxa" w:w="60"/>
              <w:left w:type="dxa" w:w="160"/>
              <w:bottom w:type="dxa" w:w="60"/>
              <w:right w:type="dxa" w:w="160"/>
            </w:tcMar>
          </w:tcPr>
          <w:p>
            <w:pPr>
              <w:spacing w:after="0"/>
            </w:pPr>
            <w:r>
              <w:rPr>
                <w:rFonts w:ascii="Arial" w:cs="Arial" w:eastAsia="Arial" w:hAnsi="Arial"/>
                <w:color w:val="8B6914"/>
                <w:sz w:val="22"/>
                <w:szCs w:val="22"/>
              </w:rPr>
              <w:t xml:space="preserve">• </w:t>
            </w:r>
            <w:r>
              <w:rPr>
                <w:rFonts w:ascii="Arial" w:cs="Arial" w:eastAsia="Arial" w:hAnsi="Arial"/>
                <w:color w:val="1B2A4A"/>
                <w:sz w:val="22"/>
                <w:szCs w:val="22"/>
              </w:rPr>
              <w:t xml:space="preserve">It does not argue that the 400 GW target is achievable on any specific timeline. The pace should be determined by execution reality.</w:t>
            </w:r>
          </w:p>
        </w:tc>
      </w:tr>
      <w:tr>
        <w:tc>
          <w:tcPr>
            <w:tcW w:type="dxa" w:w="9360"/>
            <w:tcBorders>
              <w:top w:val="single" w:color="8B6914" w:sz="1"/>
              <w:left w:val="single" w:color="8B6914" w:sz="1"/>
              <w:bottom w:val="single" w:color="8B6914" w:sz="1"/>
              <w:right w:val="single" w:color="8B6914" w:sz="1"/>
            </w:tcBorders>
            <w:shd w:fill="FDF8EF" w:val="clear"/>
            <w:tcMar>
              <w:top w:type="dxa" w:w="60"/>
              <w:left w:type="dxa" w:w="160"/>
              <w:bottom w:type="dxa" w:w="60"/>
              <w:right w:type="dxa" w:w="160"/>
            </w:tcMar>
          </w:tcPr>
          <w:p>
            <w:pPr>
              <w:spacing w:after="0"/>
            </w:pPr>
            <w:r>
              <w:rPr>
                <w:rFonts w:ascii="Arial" w:cs="Arial" w:eastAsia="Arial" w:hAnsi="Arial"/>
                <w:color w:val="8B6914"/>
                <w:sz w:val="22"/>
                <w:szCs w:val="22"/>
              </w:rPr>
              <w:t xml:space="preserve">• </w:t>
            </w:r>
            <w:r>
              <w:rPr>
                <w:rFonts w:ascii="Arial" w:cs="Arial" w:eastAsia="Arial" w:hAnsi="Arial"/>
                <w:color w:val="1B2A4A"/>
                <w:sz w:val="22"/>
                <w:szCs w:val="22"/>
              </w:rPr>
              <w:t xml:space="preserve">It does not argue that published project timelines are guaranteed. Many remain contingent on licensing, fuel availability, financing, and construction performance.</w:t>
            </w:r>
          </w:p>
        </w:tc>
      </w:tr>
    </w:tbl>
    <w:p>
      <w:pPr>
        <w:pStyle w:val="Heading1"/>
        <w:spacing w:after="240" w:before="360"/>
      </w:pPr>
      <w:r>
        <w:rPr>
          <w:rFonts w:ascii="Arial" w:cs="Arial" w:eastAsia="Arial" w:hAnsi="Arial"/>
          <w:b/>
          <w:bCs/>
          <w:color w:val="1B2A4A"/>
          <w:sz w:val="32"/>
          <w:szCs w:val="32"/>
        </w:rPr>
        <w:t xml:space="preserve">Appendix A — Safety Record and Lifecycle Emissions</w:t>
      </w:r>
    </w:p>
    <w:p>
      <w:pPr>
        <w:pStyle w:val="Heading2"/>
        <w:spacing w:after="180" w:before="280"/>
      </w:pPr>
      <w:r>
        <w:rPr>
          <w:rFonts w:ascii="Arial" w:cs="Arial" w:eastAsia="Arial" w:hAnsi="Arial"/>
          <w:b/>
          <w:bCs/>
          <w:color w:val="1B2A4A"/>
          <w:sz w:val="26"/>
          <w:szCs w:val="26"/>
        </w:rPr>
        <w:t xml:space="preserve">Safety</w:t>
      </w:r>
    </w:p>
    <w:p>
      <w:pPr>
        <w:spacing w:after="200" w:before="0" w:line="276"/>
      </w:pPr>
      <w:r>
        <w:rPr>
          <w:rFonts w:ascii="Arial" w:cs="Arial" w:eastAsia="Arial" w:hAnsi="Arial"/>
          <w:sz w:val="22"/>
          <w:szCs w:val="22"/>
        </w:rPr>
        <w:t xml:space="preserve">By deaths per TWh, nuclear compares favorably with other major energy sources: approximately 0.03 for nuclear, compared to 24.62 for coal, 18.43 for oil, and 2.82 for natural gas.</w:t>
      </w:r>
      <w:r>
        <w:rPr>
          <w:rFonts w:ascii="Arial" w:cs="Arial" w:eastAsia="Arial" w:hAnsi="Arial"/>
          <w:color w:val="1B2A4A"/>
          <w:sz w:val="16"/>
          <w:szCs w:val="16"/>
          <w:vertAlign w:val="superscript"/>
        </w:rPr>
        <w:t xml:space="preserve">46</w:t>
      </w:r>
      <w:r>
        <w:rPr>
          <w:rFonts w:ascii="Arial" w:cs="Arial" w:eastAsia="Arial" w:hAnsi="Arial"/>
          <w:sz w:val="22"/>
          <w:szCs w:val="22"/>
        </w:rPr>
        <w:t xml:space="preserve"> Wind (0.04) and solar (0.02) are in a comparable range.</w:t>
      </w:r>
    </w:p>
    <w:p>
      <w:pPr>
        <w:spacing w:after="200" w:before="0" w:line="276"/>
      </w:pPr>
      <w:r>
        <w:rPr>
          <w:rFonts w:ascii="Arial" w:cs="Arial" w:eastAsia="Arial" w:hAnsi="Arial"/>
          <w:sz w:val="22"/>
          <w:szCs w:val="22"/>
        </w:rPr>
        <w:t xml:space="preserve">Approximately 88,000–95,000 metric tons of spent fuel are stored across 75–79 sites.</w:t>
      </w:r>
      <w:r>
        <w:rPr>
          <w:rFonts w:ascii="Arial" w:cs="Arial" w:eastAsia="Arial" w:hAnsi="Arial"/>
          <w:color w:val="1B2A4A"/>
          <w:sz w:val="16"/>
          <w:szCs w:val="16"/>
          <w:vertAlign w:val="superscript"/>
        </w:rPr>
        <w:t xml:space="preserve">47</w:t>
      </w:r>
      <w:r>
        <w:rPr>
          <w:rFonts w:ascii="Arial" w:cs="Arial" w:eastAsia="Arial" w:hAnsi="Arial"/>
          <w:sz w:val="22"/>
          <w:szCs w:val="22"/>
        </w:rPr>
        <w:t xml:space="preserve"> Dry cask storage has compiled a record of zero radiological releases across over 3,800 loaded casks.</w:t>
      </w:r>
      <w:r>
        <w:rPr>
          <w:rFonts w:ascii="Arial" w:cs="Arial" w:eastAsia="Arial" w:hAnsi="Arial"/>
          <w:color w:val="1B2A4A"/>
          <w:sz w:val="16"/>
          <w:szCs w:val="16"/>
          <w:vertAlign w:val="superscript"/>
        </w:rPr>
        <w:t xml:space="preserve">47</w:t>
      </w:r>
      <w:r>
        <w:rPr>
          <w:rFonts w:ascii="Arial" w:cs="Arial" w:eastAsia="Arial" w:hAnsi="Arial"/>
          <w:sz w:val="22"/>
          <w:szCs w:val="22"/>
        </w:rPr>
        <w:t xml:space="preserve"> The technical storage record is strong; the policy failure lies in the absence of a durable long-term disposal pathway. Any serious pro-nuclear policy document loses credibility if it treats spent fuel as politically solved.</w:t>
      </w:r>
    </w:p>
    <w:p>
      <w:pPr>
        <w:spacing w:after="200" w:before="0" w:line="276"/>
      </w:pPr>
      <w:r>
        <w:rPr>
          <w:rFonts w:ascii="Arial" w:cs="Arial" w:eastAsia="Arial" w:hAnsi="Arial"/>
          <w:sz w:val="22"/>
          <w:szCs w:val="22"/>
        </w:rPr>
        <w:t xml:space="preserve">Vendor and design-control documentation indicate meaningful safety improvements in advanced reactor designs: AP1000 passive shutdown (72 hours without operator action or AC power), Xe-100 TRISO fuel integrity to approximately 1,600°C, and Natrium atmospheric-pressure sodium coolant.</w:t>
      </w:r>
      <w:r>
        <w:rPr>
          <w:rFonts w:ascii="Arial" w:cs="Arial" w:eastAsia="Arial" w:hAnsi="Arial"/>
          <w:color w:val="1B2A4A"/>
          <w:sz w:val="16"/>
          <w:szCs w:val="16"/>
          <w:vertAlign w:val="superscript"/>
        </w:rPr>
        <w:t xml:space="preserve">48</w:t>
      </w:r>
      <w:r>
        <w:rPr>
          <w:rFonts w:ascii="Arial" w:cs="Arial" w:eastAsia="Arial" w:hAnsi="Arial"/>
          <w:sz w:val="22"/>
          <w:szCs w:val="22"/>
        </w:rPr>
        <w:t xml:space="preserve"> These designs significantly reduce the plausibility of severe core-damage pathways under credible operating conditions.</w:t>
      </w:r>
    </w:p>
    <w:p>
      <w:pPr>
        <w:pStyle w:val="Heading2"/>
        <w:spacing w:after="180" w:before="280"/>
      </w:pPr>
      <w:r>
        <w:rPr>
          <w:rFonts w:ascii="Arial" w:cs="Arial" w:eastAsia="Arial" w:hAnsi="Arial"/>
          <w:b/>
          <w:bCs/>
          <w:color w:val="1B2A4A"/>
          <w:sz w:val="26"/>
          <w:szCs w:val="26"/>
        </w:rPr>
        <w:t xml:space="preserve">Lifecycle Emissions</w:t>
      </w:r>
    </w:p>
    <w:p>
      <w:pPr>
        <w:spacing w:after="200" w:before="0" w:line="276"/>
      </w:pPr>
      <w:r>
        <w:rPr>
          <w:rFonts w:ascii="Arial" w:cs="Arial" w:eastAsia="Arial" w:hAnsi="Arial"/>
          <w:sz w:val="22"/>
          <w:szCs w:val="22"/>
        </w:rPr>
        <w:t xml:space="preserve">IPCC AR6 reports nuclear’s median lifecycle emissions at 12 gCO₂eq/kWh; UNECE 2022 places it at 5.1–6.4 gCO₂eq/kWh.</w:t>
      </w:r>
      <w:r>
        <w:rPr>
          <w:rFonts w:ascii="Arial" w:cs="Arial" w:eastAsia="Arial" w:hAnsi="Arial"/>
          <w:color w:val="1B2A4A"/>
          <w:sz w:val="16"/>
          <w:szCs w:val="16"/>
          <w:vertAlign w:val="superscript"/>
        </w:rPr>
        <w:t xml:space="preserve">49,50</w:t>
      </w:r>
      <w:r>
        <w:rPr>
          <w:rFonts w:ascii="Arial" w:cs="Arial" w:eastAsia="Arial" w:hAnsi="Arial"/>
          <w:sz w:val="22"/>
          <w:szCs w:val="22"/>
        </w:rPr>
        <w:t xml:space="preserve"> The existing fleet avoids more than 470 million metric tons of CO₂ annually.</w:t>
      </w:r>
      <w:r>
        <w:rPr>
          <w:rFonts w:ascii="Arial" w:cs="Arial" w:eastAsia="Arial" w:hAnsi="Arial"/>
          <w:color w:val="1B2A4A"/>
          <w:sz w:val="16"/>
          <w:szCs w:val="16"/>
          <w:vertAlign w:val="superscript"/>
        </w:rPr>
        <w:t xml:space="preserve">3</w:t>
      </w:r>
    </w:p>
    <w:p>
      <w:pPr>
        <w:spacing w:after="200" w:before="0" w:line="276"/>
      </w:pPr>
      <w:r>
        <w:rPr>
          <w:rFonts w:ascii="Arial" w:cs="Arial" w:eastAsia="Arial" w:hAnsi="Arial"/>
          <w:sz w:val="22"/>
          <w:szCs w:val="22"/>
        </w:rPr>
        <w:t xml:space="preserve">Sepulveda, Jenkins et al. (2018) found that availability of firm low-carbon resources reduces electricity system costs by 10–62% in fully decarbonized scenarios.</w:t>
      </w:r>
      <w:r>
        <w:rPr>
          <w:rFonts w:ascii="Arial" w:cs="Arial" w:eastAsia="Arial" w:hAnsi="Arial"/>
          <w:color w:val="1B2A4A"/>
          <w:sz w:val="16"/>
          <w:szCs w:val="16"/>
          <w:vertAlign w:val="superscript"/>
        </w:rPr>
        <w:t xml:space="preserve">51</w:t>
      </w:r>
    </w:p>
    <w:p>
      <w:pPr>
        <w:pStyle w:val="Heading2"/>
        <w:spacing w:after="180" w:before="280"/>
      </w:pPr>
      <w:r>
        <w:rPr>
          <w:rFonts w:ascii="Arial" w:cs="Arial" w:eastAsia="Arial" w:hAnsi="Arial"/>
          <w:b/>
          <w:bCs/>
          <w:color w:val="1B2A4A"/>
          <w:sz w:val="26"/>
          <w:szCs w:val="26"/>
        </w:rPr>
        <w:t xml:space="preserve">Land Use</w:t>
      </w:r>
    </w:p>
    <w:p>
      <w:pPr>
        <w:spacing w:after="200" w:before="0" w:line="276"/>
      </w:pPr>
      <w:r>
        <w:rPr>
          <w:rFonts w:ascii="Arial" w:cs="Arial" w:eastAsia="Arial" w:hAnsi="Arial"/>
          <w:sz w:val="22"/>
          <w:szCs w:val="22"/>
        </w:rPr>
        <w:t xml:space="preserve">Published comparisons generally find nuclear to have a substantially smaller land footprint per unit of delivered electricity than utility-scale solar or onshore wind. This advantage compounds at system scale in deep-decarbonization scenarios.</w:t>
      </w:r>
    </w:p>
    <w:p>
      <w:r>
        <w:br w:type="page"/>
      </w:r>
    </w:p>
    <w:p>
      <w:pPr>
        <w:pStyle w:val="Heading1"/>
        <w:spacing w:after="240" w:before="360"/>
      </w:pPr>
      <w:r>
        <w:rPr>
          <w:rFonts w:ascii="Arial" w:cs="Arial" w:eastAsia="Arial" w:hAnsi="Arial"/>
          <w:b/>
          <w:bCs/>
          <w:color w:val="1B2A4A"/>
          <w:sz w:val="32"/>
          <w:szCs w:val="32"/>
        </w:rPr>
        <w:t xml:space="preserve">Appendix B — Strategic Competition and Fuel Security</w:t>
      </w:r>
    </w:p>
    <w:p>
      <w:pPr>
        <w:spacing w:after="200" w:before="0" w:line="276"/>
      </w:pPr>
      <w:r>
        <w:rPr>
          <w:rFonts w:ascii="Arial" w:cs="Arial" w:eastAsia="Arial" w:hAnsi="Arial"/>
          <w:sz w:val="22"/>
          <w:szCs w:val="22"/>
        </w:rPr>
        <w:t xml:space="preserve">China has delivered Hualong One deployments on timelines and cost structures that appear materially faster and lower than recent U.S. large-reactor experience, with approximately 58–60 reactors operating and 28–38 under construction.</w:t>
      </w:r>
      <w:r>
        <w:rPr>
          <w:rFonts w:ascii="Arial" w:cs="Arial" w:eastAsia="Arial" w:hAnsi="Arial"/>
          <w:color w:val="1B2A4A"/>
          <w:sz w:val="16"/>
          <w:szCs w:val="16"/>
          <w:vertAlign w:val="superscript"/>
        </w:rPr>
        <w:t xml:space="preserve">52</w:t>
      </w:r>
      <w:r>
        <w:rPr>
          <w:rFonts w:ascii="Arial" w:cs="Arial" w:eastAsia="Arial" w:hAnsi="Arial"/>
          <w:sz w:val="22"/>
          <w:szCs w:val="22"/>
        </w:rPr>
        <w:t xml:space="preserve"> Rosatom remains the dominant exporter in foreign reactor construction by most public market tallies, with a reported order portfolio exceeding $138 billion.</w:t>
      </w:r>
      <w:r>
        <w:rPr>
          <w:rFonts w:ascii="Arial" w:cs="Arial" w:eastAsia="Arial" w:hAnsi="Arial"/>
          <w:color w:val="1B2A4A"/>
          <w:sz w:val="16"/>
          <w:szCs w:val="16"/>
          <w:vertAlign w:val="superscript"/>
        </w:rPr>
        <w:t xml:space="preserve">53</w:t>
      </w:r>
      <w:r>
        <w:rPr>
          <w:rFonts w:ascii="Arial" w:cs="Arial" w:eastAsia="Arial" w:hAnsi="Arial"/>
          <w:sz w:val="22"/>
          <w:szCs w:val="22"/>
        </w:rPr>
        <w:t xml:space="preserve"> Every country that selects Rosatom is placed into long-duration fuel, service, and diplomatic dependencies for 60–80 years.</w:t>
      </w:r>
    </w:p>
    <w:p>
      <w:pPr>
        <w:spacing w:after="200" w:before="0" w:line="276"/>
      </w:pPr>
      <w:r>
        <w:rPr>
          <w:rFonts w:ascii="Arial" w:cs="Arial" w:eastAsia="Arial" w:hAnsi="Arial"/>
          <w:b/>
          <w:bCs/>
          <w:sz w:val="22"/>
          <w:szCs w:val="22"/>
        </w:rPr>
        <w:t xml:space="preserve">Policy implication: </w:t>
      </w:r>
      <w:r>
        <w:rPr>
          <w:rFonts w:ascii="Arial" w:cs="Arial" w:eastAsia="Arial" w:hAnsi="Arial"/>
          <w:sz w:val="22"/>
          <w:szCs w:val="22"/>
        </w:rPr>
        <w:t xml:space="preserve">The nuclear fuel cycle and reactor export capability are strategic assets. Their erosion is a national security cost independent of domestic electricity considerations.</w:t>
      </w:r>
    </w:p>
    <w:p>
      <w:r>
        <w:br w:type="page"/>
      </w:r>
    </w:p>
    <w:p>
      <w:pPr>
        <w:pStyle w:val="Heading1"/>
        <w:spacing w:after="240" w:before="360"/>
      </w:pPr>
      <w:r>
        <w:rPr>
          <w:rFonts w:ascii="Arial" w:cs="Arial" w:eastAsia="Arial" w:hAnsi="Arial"/>
          <w:b/>
          <w:bCs/>
          <w:color w:val="1B2A4A"/>
          <w:sz w:val="32"/>
          <w:szCs w:val="32"/>
        </w:rPr>
        <w:t xml:space="preserve">Conclusion</w:t>
      </w:r>
    </w:p>
    <w:p>
      <w:pPr>
        <w:spacing w:after="200" w:before="0" w:line="276"/>
      </w:pPr>
      <w:r>
        <w:rPr>
          <w:rFonts w:ascii="Arial" w:cs="Arial" w:eastAsia="Arial" w:hAnsi="Arial"/>
          <w:sz w:val="22"/>
          <w:szCs w:val="22"/>
        </w:rPr>
        <w:t xml:space="preserve">The United States faces rising electricity demand, tightening reliability margins, fuel-supply vulnerability, and intensifying strategic competition in civil nuclear markets. These conditions are concurrent and mutually reinforcing.</w:t>
      </w:r>
    </w:p>
    <w:p>
      <w:pPr>
        <w:spacing w:after="200" w:before="0" w:line="276"/>
      </w:pPr>
      <w:r>
        <w:rPr>
          <w:rFonts w:ascii="Arial" w:cs="Arial" w:eastAsia="Arial" w:hAnsi="Arial"/>
          <w:sz w:val="22"/>
          <w:szCs w:val="22"/>
        </w:rPr>
        <w:t xml:space="preserve">The highest-confidence actions are clear. First, preserve and extend the existing fleet through license renewal, uprates, and continued economic support. Second, prioritize restarts and brownfield deployments that can add firm capacity faster than greenfield projects. Third, advance SMRs and other advanced reactors selectively, with discipline around fuel availability, cost, schedule, and repeatability. Deployment beyond early projects should be contingent on demonstrated cost control and repeatability.</w:t>
      </w:r>
    </w:p>
    <w:p>
      <w:pPr>
        <w:spacing w:after="200" w:before="0" w:line="276"/>
      </w:pPr>
      <w:r>
        <w:rPr>
          <w:rFonts w:ascii="Arial" w:cs="Arial" w:eastAsia="Arial" w:hAnsi="Arial"/>
          <w:sz w:val="22"/>
          <w:szCs w:val="22"/>
        </w:rPr>
        <w:t xml:space="preserve">The HALEU supply chain remains the most acute near-term constraint. Without domestic HALEU at commercial scale, advanced-reactor progress will remain largely notional. The policy window is favorable—bipartisan legislative support, strong public approval, private-sector demand, and aligned executive action—but these conditions are not permanent. Capital-intensive infrastructure built on unstable policy foundations costs more, takes longer, and attracts less private investment.</w:t>
      </w:r>
    </w:p>
    <w:p>
      <w:pPr>
        <w:spacing w:after="200" w:before="0" w:line="276"/>
      </w:pPr>
      <w:r>
        <w:rPr>
          <w:rFonts w:ascii="Arial" w:cs="Arial" w:eastAsia="Arial" w:hAnsi="Arial"/>
          <w:b/>
          <w:bCs/>
          <w:sz w:val="22"/>
          <w:szCs w:val="22"/>
        </w:rPr>
        <w:t xml:space="preserve">The policy question is not whether nuclear alone can solve the U.S. power challenge. It cannot. The policy question is whether the United States will preserve and selectively expand firm clean capacity while demand rises, reserve margins tighten, and strategic competition intensifies. The evidence supports a bounded but clear conclusion: nuclear should be treated as a core component of a reliability and industrial strategy, deployed where it is operationally viable and evaluated based on execution—not projection.</w:t>
      </w:r>
    </w:p>
    <w:p>
      <w:r>
        <w:br w:type="page"/>
      </w:r>
    </w:p>
    <w:p>
      <w:pPr>
        <w:pStyle w:val="Heading1"/>
        <w:spacing w:after="240" w:before="360"/>
      </w:pPr>
      <w:r>
        <w:rPr>
          <w:rFonts w:ascii="Arial" w:cs="Arial" w:eastAsia="Arial" w:hAnsi="Arial"/>
          <w:b/>
          <w:bCs/>
          <w:color w:val="1B2A4A"/>
          <w:sz w:val="32"/>
          <w:szCs w:val="32"/>
        </w:rPr>
        <w:t xml:space="preserve">Endnotes</w:t>
      </w:r>
    </w:p>
    <w:p>
      <w:pPr>
        <w:spacing w:after="80" w:before="0" w:line="276"/>
      </w:pPr>
      <w:r>
        <w:rPr>
          <w:rFonts w:ascii="Arial" w:cs="Arial" w:eastAsia="Arial" w:hAnsi="Arial"/>
          <w:b/>
          <w:bCs/>
          <w:sz w:val="20"/>
          <w:szCs w:val="20"/>
        </w:rPr>
        <w:t xml:space="preserve">1. </w:t>
      </w:r>
      <w:r>
        <w:rPr>
          <w:rFonts w:ascii="Arial" w:cs="Arial" w:eastAsia="Arial" w:hAnsi="Arial"/>
          <w:sz w:val="20"/>
          <w:szCs w:val="20"/>
        </w:rPr>
        <w:t xml:space="preserve">U.S. Energy Information Administration, Electric Power Monthly, Table 6.2.B, March 2026; NRC, Operating Nuclear Power Reactors (by Location or Name), updated February 2026.</w:t>
      </w:r>
    </w:p>
    <w:p>
      <w:pPr>
        <w:spacing w:after="80" w:before="0" w:line="276"/>
      </w:pPr>
      <w:r>
        <w:rPr>
          <w:rFonts w:ascii="Arial" w:cs="Arial" w:eastAsia="Arial" w:hAnsi="Arial"/>
          <w:b/>
          <w:bCs/>
          <w:sz w:val="20"/>
          <w:szCs w:val="20"/>
        </w:rPr>
        <w:t xml:space="preserve">2. </w:t>
      </w:r>
      <w:r>
        <w:rPr>
          <w:rFonts w:ascii="Arial" w:cs="Arial" w:eastAsia="Arial" w:hAnsi="Arial"/>
          <w:sz w:val="20"/>
          <w:szCs w:val="20"/>
        </w:rPr>
        <w:t xml:space="preserve">North American Electric Reliability Corporation (NERC), 2025 Long-Term Reliability Assessment, January 2026.</w:t>
      </w:r>
    </w:p>
    <w:p>
      <w:pPr>
        <w:spacing w:after="80" w:before="0" w:line="276"/>
      </w:pPr>
      <w:r>
        <w:rPr>
          <w:rFonts w:ascii="Arial" w:cs="Arial" w:eastAsia="Arial" w:hAnsi="Arial"/>
          <w:b/>
          <w:bCs/>
          <w:sz w:val="20"/>
          <w:szCs w:val="20"/>
        </w:rPr>
        <w:t xml:space="preserve">3. </w:t>
      </w:r>
      <w:r>
        <w:rPr>
          <w:rFonts w:ascii="Arial" w:cs="Arial" w:eastAsia="Arial" w:hAnsi="Arial"/>
          <w:sz w:val="20"/>
          <w:szCs w:val="20"/>
        </w:rPr>
        <w:t xml:space="preserve">U.S. Energy Information Administration, Electric Power Monthly, Table 1.1 (Net Generation by Energy Source), March 2026.</w:t>
      </w:r>
    </w:p>
    <w:p>
      <w:pPr>
        <w:spacing w:after="80" w:before="0" w:line="276"/>
      </w:pPr>
      <w:r>
        <w:rPr>
          <w:rFonts w:ascii="Arial" w:cs="Arial" w:eastAsia="Arial" w:hAnsi="Arial"/>
          <w:b/>
          <w:bCs/>
          <w:sz w:val="20"/>
          <w:szCs w:val="20"/>
        </w:rPr>
        <w:t xml:space="preserve">4. </w:t>
      </w:r>
      <w:r>
        <w:rPr>
          <w:rFonts w:ascii="Arial" w:cs="Arial" w:eastAsia="Arial" w:hAnsi="Arial"/>
          <w:sz w:val="20"/>
          <w:szCs w:val="20"/>
        </w:rPr>
        <w:t xml:space="preserve">U.S. Energy Information Administration, Short-Term Energy Outlook, March 2026.</w:t>
      </w:r>
    </w:p>
    <w:p>
      <w:pPr>
        <w:spacing w:after="80" w:before="0" w:line="276"/>
      </w:pPr>
      <w:r>
        <w:rPr>
          <w:rFonts w:ascii="Arial" w:cs="Arial" w:eastAsia="Arial" w:hAnsi="Arial"/>
          <w:b/>
          <w:bCs/>
          <w:sz w:val="20"/>
          <w:szCs w:val="20"/>
        </w:rPr>
        <w:t xml:space="preserve">5. </w:t>
      </w:r>
      <w:r>
        <w:rPr>
          <w:rFonts w:ascii="Arial" w:cs="Arial" w:eastAsia="Arial" w:hAnsi="Arial"/>
          <w:sz w:val="20"/>
          <w:szCs w:val="20"/>
        </w:rPr>
        <w:t xml:space="preserve">U.S. Energy Information Administration, Annual Energy Outlook 2025, Reference Case tables.</w:t>
      </w:r>
    </w:p>
    <w:p>
      <w:pPr>
        <w:spacing w:after="80" w:before="0" w:line="276"/>
      </w:pPr>
      <w:r>
        <w:rPr>
          <w:rFonts w:ascii="Arial" w:cs="Arial" w:eastAsia="Arial" w:hAnsi="Arial"/>
          <w:b/>
          <w:bCs/>
          <w:sz w:val="20"/>
          <w:szCs w:val="20"/>
        </w:rPr>
        <w:t xml:space="preserve">6. </w:t>
      </w:r>
      <w:r>
        <w:rPr>
          <w:rFonts w:ascii="Arial" w:cs="Arial" w:eastAsia="Arial" w:hAnsi="Arial"/>
          <w:sz w:val="20"/>
          <w:szCs w:val="20"/>
        </w:rPr>
        <w:t xml:space="preserve">U.S. Department of Energy / Lawrence Berkeley National Laboratory, United States Data Center Energy Usage Report, 2024.</w:t>
      </w:r>
    </w:p>
    <w:p>
      <w:pPr>
        <w:spacing w:after="80" w:before="0" w:line="276"/>
      </w:pPr>
      <w:r>
        <w:rPr>
          <w:rFonts w:ascii="Arial" w:cs="Arial" w:eastAsia="Arial" w:hAnsi="Arial"/>
          <w:b/>
          <w:bCs/>
          <w:sz w:val="20"/>
          <w:szCs w:val="20"/>
        </w:rPr>
        <w:t xml:space="preserve">7. </w:t>
      </w:r>
      <w:r>
        <w:rPr>
          <w:rFonts w:ascii="Arial" w:cs="Arial" w:eastAsia="Arial" w:hAnsi="Arial"/>
          <w:sz w:val="20"/>
          <w:szCs w:val="20"/>
        </w:rPr>
        <w:t xml:space="preserve">S&amp;P Global Market Intelligence, U.S. Data Center Power Demand Forecast, October 2025. Note: private-sector forecast; used as supplemental upper-range estimate.</w:t>
      </w:r>
    </w:p>
    <w:p>
      <w:pPr>
        <w:spacing w:after="80" w:before="0" w:line="276"/>
      </w:pPr>
      <w:r>
        <w:rPr>
          <w:rFonts w:ascii="Arial" w:cs="Arial" w:eastAsia="Arial" w:hAnsi="Arial"/>
          <w:b/>
          <w:bCs/>
          <w:sz w:val="20"/>
          <w:szCs w:val="20"/>
        </w:rPr>
        <w:t xml:space="preserve">8. </w:t>
      </w:r>
      <w:r>
        <w:rPr>
          <w:rFonts w:ascii="Arial" w:cs="Arial" w:eastAsia="Arial" w:hAnsi="Arial"/>
          <w:sz w:val="20"/>
          <w:szCs w:val="20"/>
        </w:rPr>
        <w:t xml:space="preserve">U.S. Energy Information Administration, Annual Energy Outlook 2025, Industrial Demand tables.</w:t>
      </w:r>
    </w:p>
    <w:p>
      <w:pPr>
        <w:spacing w:after="80" w:before="0" w:line="276"/>
      </w:pPr>
      <w:r>
        <w:rPr>
          <w:rFonts w:ascii="Arial" w:cs="Arial" w:eastAsia="Arial" w:hAnsi="Arial"/>
          <w:b/>
          <w:bCs/>
          <w:sz w:val="20"/>
          <w:szCs w:val="20"/>
        </w:rPr>
        <w:t xml:space="preserve">9. </w:t>
      </w:r>
      <w:r>
        <w:rPr>
          <w:rFonts w:ascii="Arial" w:cs="Arial" w:eastAsia="Arial" w:hAnsi="Arial"/>
          <w:sz w:val="20"/>
          <w:szCs w:val="20"/>
        </w:rPr>
        <w:t xml:space="preserve">U.S. Census Bureau, Value of Construction Put in Place Survey (Manufacturing), monthly data through December 2025.</w:t>
      </w:r>
    </w:p>
    <w:p>
      <w:pPr>
        <w:spacing w:after="80" w:before="0" w:line="276"/>
      </w:pPr>
      <w:r>
        <w:rPr>
          <w:rFonts w:ascii="Arial" w:cs="Arial" w:eastAsia="Arial" w:hAnsi="Arial"/>
          <w:b/>
          <w:bCs/>
          <w:sz w:val="20"/>
          <w:szCs w:val="20"/>
        </w:rPr>
        <w:t xml:space="preserve">10. </w:t>
      </w:r>
      <w:r>
        <w:rPr>
          <w:rFonts w:ascii="Arial" w:cs="Arial" w:eastAsia="Arial" w:hAnsi="Arial"/>
          <w:sz w:val="20"/>
          <w:szCs w:val="20"/>
        </w:rPr>
        <w:t xml:space="preserve">PJM Interconnection, 2025 Load Forecast Report, January 2025.</w:t>
      </w:r>
    </w:p>
    <w:p>
      <w:pPr>
        <w:spacing w:after="80" w:before="0" w:line="276"/>
      </w:pPr>
      <w:r>
        <w:rPr>
          <w:rFonts w:ascii="Arial" w:cs="Arial" w:eastAsia="Arial" w:hAnsi="Arial"/>
          <w:b/>
          <w:bCs/>
          <w:sz w:val="20"/>
          <w:szCs w:val="20"/>
        </w:rPr>
        <w:t xml:space="preserve">11. </w:t>
      </w:r>
      <w:r>
        <w:rPr>
          <w:rFonts w:ascii="Arial" w:cs="Arial" w:eastAsia="Arial" w:hAnsi="Arial"/>
          <w:sz w:val="20"/>
          <w:szCs w:val="20"/>
        </w:rPr>
        <w:t xml:space="preserve">FERC, NERC, and Regional Entity Staff, The February 2021 Cold Weather Outages in Texas and the South Central United States, Final Report, November 2021.</w:t>
      </w:r>
    </w:p>
    <w:p>
      <w:pPr>
        <w:spacing w:after="80" w:before="0" w:line="276"/>
      </w:pPr>
      <w:r>
        <w:rPr>
          <w:rFonts w:ascii="Arial" w:cs="Arial" w:eastAsia="Arial" w:hAnsi="Arial"/>
          <w:b/>
          <w:bCs/>
          <w:sz w:val="20"/>
          <w:szCs w:val="20"/>
        </w:rPr>
        <w:t xml:space="preserve">12. </w:t>
      </w:r>
      <w:r>
        <w:rPr>
          <w:rFonts w:ascii="Arial" w:cs="Arial" w:eastAsia="Arial" w:hAnsi="Arial"/>
          <w:sz w:val="20"/>
          <w:szCs w:val="20"/>
        </w:rPr>
        <w:t xml:space="preserve">FERC, NERC, and Regional Entity Staff, Winter Storm Elliott Inquiry Report, October 2023.</w:t>
      </w:r>
    </w:p>
    <w:p>
      <w:pPr>
        <w:spacing w:after="80" w:before="0" w:line="276"/>
      </w:pPr>
      <w:r>
        <w:rPr>
          <w:rFonts w:ascii="Arial" w:cs="Arial" w:eastAsia="Arial" w:hAnsi="Arial"/>
          <w:b/>
          <w:bCs/>
          <w:sz w:val="20"/>
          <w:szCs w:val="20"/>
        </w:rPr>
        <w:t xml:space="preserve">13. </w:t>
      </w:r>
      <w:r>
        <w:rPr>
          <w:rFonts w:ascii="Arial" w:cs="Arial" w:eastAsia="Arial" w:hAnsi="Arial"/>
          <w:sz w:val="20"/>
          <w:szCs w:val="20"/>
        </w:rPr>
        <w:t xml:space="preserve">California Independent System Operator, Final Root Cause Analysis: Mid-August 2020 Extreme Heat Wave, January 2021.</w:t>
      </w:r>
    </w:p>
    <w:p>
      <w:pPr>
        <w:spacing w:after="80" w:before="0" w:line="276"/>
      </w:pPr>
      <w:r>
        <w:rPr>
          <w:rFonts w:ascii="Arial" w:cs="Arial" w:eastAsia="Arial" w:hAnsi="Arial"/>
          <w:b/>
          <w:bCs/>
          <w:sz w:val="20"/>
          <w:szCs w:val="20"/>
        </w:rPr>
        <w:t xml:space="preserve">14. </w:t>
      </w:r>
      <w:r>
        <w:rPr>
          <w:rFonts w:ascii="Arial" w:cs="Arial" w:eastAsia="Arial" w:hAnsi="Arial"/>
          <w:sz w:val="20"/>
          <w:szCs w:val="20"/>
        </w:rPr>
        <w:t xml:space="preserve">PJM Interconnection, 2027/2028 RPM Base Residual Auction Results, December 2025.</w:t>
      </w:r>
    </w:p>
    <w:p>
      <w:pPr>
        <w:spacing w:after="80" w:before="0" w:line="276"/>
      </w:pPr>
      <w:r>
        <w:rPr>
          <w:rFonts w:ascii="Arial" w:cs="Arial" w:eastAsia="Arial" w:hAnsi="Arial"/>
          <w:b/>
          <w:bCs/>
          <w:sz w:val="20"/>
          <w:szCs w:val="20"/>
        </w:rPr>
        <w:t xml:space="preserve">15. </w:t>
      </w:r>
      <w:r>
        <w:rPr>
          <w:rFonts w:ascii="Arial" w:cs="Arial" w:eastAsia="Arial" w:hAnsi="Arial"/>
          <w:sz w:val="20"/>
          <w:szCs w:val="20"/>
        </w:rPr>
        <w:t xml:space="preserve">U.S. Department of Energy, Grid Deployment Office, National Transmission Needs Study, October 2023. Transmission completion data from DOE Grid Deployment Office annual tracking.</w:t>
      </w:r>
    </w:p>
    <w:p>
      <w:pPr>
        <w:spacing w:after="80" w:before="0" w:line="276"/>
      </w:pPr>
      <w:r>
        <w:rPr>
          <w:rFonts w:ascii="Arial" w:cs="Arial" w:eastAsia="Arial" w:hAnsi="Arial"/>
          <w:b/>
          <w:bCs/>
          <w:sz w:val="20"/>
          <w:szCs w:val="20"/>
        </w:rPr>
        <w:t xml:space="preserve">16. </w:t>
      </w:r>
      <w:r>
        <w:rPr>
          <w:rFonts w:ascii="Arial" w:cs="Arial" w:eastAsia="Arial" w:hAnsi="Arial"/>
          <w:sz w:val="20"/>
          <w:szCs w:val="20"/>
        </w:rPr>
        <w:t xml:space="preserve">Lawrence Berkeley National Laboratory, Queued Up: Characteristics of Power Plants Seeking Transmission Interconnection as of the End of 2024, April 2025.</w:t>
      </w:r>
    </w:p>
    <w:p>
      <w:pPr>
        <w:spacing w:after="80" w:before="0" w:line="276"/>
      </w:pPr>
      <w:r>
        <w:rPr>
          <w:rFonts w:ascii="Arial" w:cs="Arial" w:eastAsia="Arial" w:hAnsi="Arial"/>
          <w:b/>
          <w:bCs/>
          <w:sz w:val="20"/>
          <w:szCs w:val="20"/>
        </w:rPr>
        <w:t xml:space="preserve">17. </w:t>
      </w:r>
      <w:r>
        <w:rPr>
          <w:rFonts w:ascii="Arial" w:cs="Arial" w:eastAsia="Arial" w:hAnsi="Arial"/>
          <w:sz w:val="20"/>
          <w:szCs w:val="20"/>
        </w:rPr>
        <w:t xml:space="preserve">Federal Energy Regulatory Commission, Order No. 1920, Building for the Future Through Electric Regional Transmission Planning and Cost Allocation, Final Rule, 88 Fed. Reg. (May 2024).</w:t>
      </w:r>
    </w:p>
    <w:p>
      <w:pPr>
        <w:spacing w:after="80" w:before="0" w:line="276"/>
      </w:pPr>
      <w:r>
        <w:rPr>
          <w:rFonts w:ascii="Arial" w:cs="Arial" w:eastAsia="Arial" w:hAnsi="Arial"/>
          <w:b/>
          <w:bCs/>
          <w:sz w:val="20"/>
          <w:szCs w:val="20"/>
        </w:rPr>
        <w:t xml:space="preserve">18. </w:t>
      </w:r>
      <w:r>
        <w:rPr>
          <w:rFonts w:ascii="Arial" w:cs="Arial" w:eastAsia="Arial" w:hAnsi="Arial"/>
          <w:sz w:val="20"/>
          <w:szCs w:val="20"/>
        </w:rPr>
        <w:t xml:space="preserve">Nuclear Energy Institute, Nuclear Costs in Context, 2024 edition (based on EUCG survey data). Note: industry association source; cross-referenced with EIA operating cost data where available.</w:t>
      </w:r>
    </w:p>
    <w:p>
      <w:pPr>
        <w:spacing w:after="80" w:before="0" w:line="276"/>
      </w:pPr>
      <w:r>
        <w:rPr>
          <w:rFonts w:ascii="Arial" w:cs="Arial" w:eastAsia="Arial" w:hAnsi="Arial"/>
          <w:b/>
          <w:bCs/>
          <w:sz w:val="20"/>
          <w:szCs w:val="20"/>
        </w:rPr>
        <w:t xml:space="preserve">19. </w:t>
      </w:r>
      <w:r>
        <w:rPr>
          <w:rFonts w:ascii="Arial" w:cs="Arial" w:eastAsia="Arial" w:hAnsi="Arial"/>
          <w:sz w:val="20"/>
          <w:szCs w:val="20"/>
        </w:rPr>
        <w:t xml:space="preserve">Internal Revenue Code §45U, as enacted by the Inflation Reduction Act of 2022, Pub. L. 117-169, §13105; §45Y and §48E for new facilities. Joint Committee on Taxation, JCX-3-22 (estimated revenue effects).</w:t>
      </w:r>
    </w:p>
    <w:p>
      <w:pPr>
        <w:spacing w:after="80" w:before="0" w:line="276"/>
      </w:pPr>
      <w:r>
        <w:rPr>
          <w:rFonts w:ascii="Arial" w:cs="Arial" w:eastAsia="Arial" w:hAnsi="Arial"/>
          <w:b/>
          <w:bCs/>
          <w:sz w:val="20"/>
          <w:szCs w:val="20"/>
        </w:rPr>
        <w:t xml:space="preserve">20. </w:t>
      </w:r>
      <w:r>
        <w:rPr>
          <w:rFonts w:ascii="Arial" w:cs="Arial" w:eastAsia="Arial" w:hAnsi="Arial"/>
          <w:sz w:val="20"/>
          <w:szCs w:val="20"/>
        </w:rPr>
        <w:t xml:space="preserve">U.S. Nuclear Regulatory Commission, Status of Subsequent License Renewal Applications, updated March 2026; NRC NUREG-2191 and NUREG-2192.</w:t>
      </w:r>
    </w:p>
    <w:p>
      <w:pPr>
        <w:spacing w:after="80" w:before="0" w:line="276"/>
      </w:pPr>
      <w:r>
        <w:rPr>
          <w:rFonts w:ascii="Arial" w:cs="Arial" w:eastAsia="Arial" w:hAnsi="Arial"/>
          <w:b/>
          <w:bCs/>
          <w:sz w:val="20"/>
          <w:szCs w:val="20"/>
        </w:rPr>
        <w:t xml:space="preserve">21. </w:t>
      </w:r>
      <w:r>
        <w:rPr>
          <w:rFonts w:ascii="Arial" w:cs="Arial" w:eastAsia="Arial" w:hAnsi="Arial"/>
          <w:sz w:val="20"/>
          <w:szCs w:val="20"/>
        </w:rPr>
        <w:t xml:space="preserve">U.S. Department of Energy, Loan Programs Office, Palisades Nuclear Plant Conditional Commitment, March 2024; NRC, Order Approving Return to Operations for Palisades Nuclear Generating Station, July 2025.</w:t>
      </w:r>
    </w:p>
    <w:p>
      <w:pPr>
        <w:spacing w:after="80" w:before="0" w:line="276"/>
      </w:pPr>
      <w:r>
        <w:rPr>
          <w:rFonts w:ascii="Arial" w:cs="Arial" w:eastAsia="Arial" w:hAnsi="Arial"/>
          <w:b/>
          <w:bCs/>
          <w:sz w:val="20"/>
          <w:szCs w:val="20"/>
        </w:rPr>
        <w:t xml:space="preserve">22. </w:t>
      </w:r>
      <w:r>
        <w:rPr>
          <w:rFonts w:ascii="Arial" w:cs="Arial" w:eastAsia="Arial" w:hAnsi="Arial"/>
          <w:sz w:val="20"/>
          <w:szCs w:val="20"/>
        </w:rPr>
        <w:t xml:space="preserve">U.S. Department of Energy, Loan Programs Office, Conditional Commitment for Crane Clean Energy Center (TMI-1), January 2025; Constellation Energy press release, September 20, 2024.</w:t>
      </w:r>
    </w:p>
    <w:p>
      <w:pPr>
        <w:spacing w:after="80" w:before="0" w:line="276"/>
      </w:pPr>
      <w:r>
        <w:rPr>
          <w:rFonts w:ascii="Arial" w:cs="Arial" w:eastAsia="Arial" w:hAnsi="Arial"/>
          <w:b/>
          <w:bCs/>
          <w:sz w:val="20"/>
          <w:szCs w:val="20"/>
        </w:rPr>
        <w:t xml:space="preserve">23. </w:t>
      </w:r>
      <w:r>
        <w:rPr>
          <w:rFonts w:ascii="Arial" w:cs="Arial" w:eastAsia="Arial" w:hAnsi="Arial"/>
          <w:sz w:val="20"/>
          <w:szCs w:val="20"/>
        </w:rPr>
        <w:t xml:space="preserve">Georgia Power / Southern Company, Vogtle Units 3 &amp; 4 Project Updates, SEC filings and Georgia PSC dockets through Q2 2024; DOE Pathways to Commercial Liftoff: Advanced Nuclear, March 2024.</w:t>
      </w:r>
    </w:p>
    <w:p>
      <w:pPr>
        <w:spacing w:after="80" w:before="0" w:line="276"/>
      </w:pPr>
      <w:r>
        <w:rPr>
          <w:rFonts w:ascii="Arial" w:cs="Arial" w:eastAsia="Arial" w:hAnsi="Arial"/>
          <w:b/>
          <w:bCs/>
          <w:sz w:val="20"/>
          <w:szCs w:val="20"/>
        </w:rPr>
        <w:t xml:space="preserve">24. </w:t>
      </w:r>
      <w:r>
        <w:rPr>
          <w:rFonts w:ascii="Arial" w:cs="Arial" w:eastAsia="Arial" w:hAnsi="Arial"/>
          <w:sz w:val="20"/>
          <w:szCs w:val="20"/>
        </w:rPr>
        <w:t xml:space="preserve">Idaho National Laboratory, Light Water Reactor Sustainability Program: AP1000 Nth-of-a-Kind Cost and Schedule Analysis, INL/RPT-23-74089, 2023. Note: modeled projection, not observed outcome.</w:t>
      </w:r>
    </w:p>
    <w:p>
      <w:pPr>
        <w:spacing w:after="80" w:before="0" w:line="276"/>
      </w:pPr>
      <w:r>
        <w:rPr>
          <w:rFonts w:ascii="Arial" w:cs="Arial" w:eastAsia="Arial" w:hAnsi="Arial"/>
          <w:b/>
          <w:bCs/>
          <w:sz w:val="20"/>
          <w:szCs w:val="20"/>
        </w:rPr>
        <w:t xml:space="preserve">25. </w:t>
      </w:r>
      <w:r>
        <w:rPr>
          <w:rFonts w:ascii="Arial" w:cs="Arial" w:eastAsia="Arial" w:hAnsi="Arial"/>
          <w:sz w:val="20"/>
          <w:szCs w:val="20"/>
        </w:rPr>
        <w:t xml:space="preserve">Talen Energy, Talen Energy and Amazon Announce Nuclear-Powered Data Center Agreement, press release, March 2024; confirmed by Reuters and S&amp;P Global reporting.</w:t>
      </w:r>
    </w:p>
    <w:p>
      <w:pPr>
        <w:spacing w:after="80" w:before="0" w:line="276"/>
      </w:pPr>
      <w:r>
        <w:rPr>
          <w:rFonts w:ascii="Arial" w:cs="Arial" w:eastAsia="Arial" w:hAnsi="Arial"/>
          <w:b/>
          <w:bCs/>
          <w:sz w:val="20"/>
          <w:szCs w:val="20"/>
        </w:rPr>
        <w:t xml:space="preserve">26. </w:t>
      </w:r>
      <w:r>
        <w:rPr>
          <w:rFonts w:ascii="Arial" w:cs="Arial" w:eastAsia="Arial" w:hAnsi="Arial"/>
          <w:sz w:val="20"/>
          <w:szCs w:val="20"/>
        </w:rPr>
        <w:t xml:space="preserve">Meta Platforms Inc., Meta Announces Nuclear Energy Partnerships, press release, January 2026; Vistra Corp. Form 8-K, January 2026.</w:t>
      </w:r>
    </w:p>
    <w:p>
      <w:pPr>
        <w:spacing w:after="80" w:before="0" w:line="276"/>
      </w:pPr>
      <w:r>
        <w:rPr>
          <w:rFonts w:ascii="Arial" w:cs="Arial" w:eastAsia="Arial" w:hAnsi="Arial"/>
          <w:b/>
          <w:bCs/>
          <w:sz w:val="20"/>
          <w:szCs w:val="20"/>
        </w:rPr>
        <w:t xml:space="preserve">27. </w:t>
      </w:r>
      <w:r>
        <w:rPr>
          <w:rFonts w:ascii="Arial" w:cs="Arial" w:eastAsia="Arial" w:hAnsi="Arial"/>
          <w:sz w:val="20"/>
          <w:szCs w:val="20"/>
        </w:rPr>
        <w:t xml:space="preserve">FERC, Order on Interconnection Service Agreement Amendment, Docket No. ER24-2316 (Susquehanna / Talen-Amazon co-location), November 2024.</w:t>
      </w:r>
    </w:p>
    <w:p>
      <w:pPr>
        <w:spacing w:after="80" w:before="0" w:line="276"/>
      </w:pPr>
      <w:r>
        <w:rPr>
          <w:rFonts w:ascii="Arial" w:cs="Arial" w:eastAsia="Arial" w:hAnsi="Arial"/>
          <w:b/>
          <w:bCs/>
          <w:sz w:val="20"/>
          <w:szCs w:val="20"/>
        </w:rPr>
        <w:t xml:space="preserve">28. </w:t>
      </w:r>
      <w:r>
        <w:rPr>
          <w:rFonts w:ascii="Arial" w:cs="Arial" w:eastAsia="Arial" w:hAnsi="Arial"/>
          <w:sz w:val="20"/>
          <w:szCs w:val="20"/>
        </w:rPr>
        <w:t xml:space="preserve">NRC Docket No. 50-612 (TerraPower Natrium); TerraPower LLC press release, 2026.</w:t>
      </w:r>
    </w:p>
    <w:p>
      <w:pPr>
        <w:spacing w:after="80" w:before="0" w:line="276"/>
      </w:pPr>
      <w:r>
        <w:rPr>
          <w:rFonts w:ascii="Arial" w:cs="Arial" w:eastAsia="Arial" w:hAnsi="Arial"/>
          <w:b/>
          <w:bCs/>
          <w:sz w:val="20"/>
          <w:szCs w:val="20"/>
        </w:rPr>
        <w:t xml:space="preserve">29. </w:t>
      </w:r>
      <w:r>
        <w:rPr>
          <w:rFonts w:ascii="Arial" w:cs="Arial" w:eastAsia="Arial" w:hAnsi="Arial"/>
          <w:sz w:val="20"/>
          <w:szCs w:val="20"/>
        </w:rPr>
        <w:t xml:space="preserve">NRC Docket No. 50-614 (TVA BWRX-300 at Clinch River); TVA press release, May 2025.</w:t>
      </w:r>
    </w:p>
    <w:p>
      <w:pPr>
        <w:spacing w:after="80" w:before="0" w:line="276"/>
      </w:pPr>
      <w:r>
        <w:rPr>
          <w:rFonts w:ascii="Arial" w:cs="Arial" w:eastAsia="Arial" w:hAnsi="Arial"/>
          <w:b/>
          <w:bCs/>
          <w:sz w:val="20"/>
          <w:szCs w:val="20"/>
        </w:rPr>
        <w:t xml:space="preserve">30. </w:t>
      </w:r>
      <w:r>
        <w:rPr>
          <w:rFonts w:ascii="Arial" w:cs="Arial" w:eastAsia="Arial" w:hAnsi="Arial"/>
          <w:sz w:val="20"/>
          <w:szCs w:val="20"/>
        </w:rPr>
        <w:t xml:space="preserve">NRC Docket No. 50-616 (X-energy Xe-100 at Dow Seadrift); X-energy LLC press release, May 2025.</w:t>
      </w:r>
    </w:p>
    <w:p>
      <w:pPr>
        <w:spacing w:after="80" w:before="0" w:line="276"/>
      </w:pPr>
      <w:r>
        <w:rPr>
          <w:rFonts w:ascii="Arial" w:cs="Arial" w:eastAsia="Arial" w:hAnsi="Arial"/>
          <w:b/>
          <w:bCs/>
          <w:sz w:val="20"/>
          <w:szCs w:val="20"/>
        </w:rPr>
        <w:t xml:space="preserve">31. </w:t>
      </w:r>
      <w:r>
        <w:rPr>
          <w:rFonts w:ascii="Arial" w:cs="Arial" w:eastAsia="Arial" w:hAnsi="Arial"/>
          <w:sz w:val="20"/>
          <w:szCs w:val="20"/>
        </w:rPr>
        <w:t xml:space="preserve">NRC Docket No. 50-613 (Kairos Power Hermes 2); Kairos Power LLC press release, November 2024.</w:t>
      </w:r>
    </w:p>
    <w:p>
      <w:pPr>
        <w:spacing w:after="80" w:before="0" w:line="276"/>
      </w:pPr>
      <w:r>
        <w:rPr>
          <w:rFonts w:ascii="Arial" w:cs="Arial" w:eastAsia="Arial" w:hAnsi="Arial"/>
          <w:b/>
          <w:bCs/>
          <w:sz w:val="20"/>
          <w:szCs w:val="20"/>
        </w:rPr>
        <w:t xml:space="preserve">32. </w:t>
      </w:r>
      <w:r>
        <w:rPr>
          <w:rFonts w:ascii="Arial" w:cs="Arial" w:eastAsia="Arial" w:hAnsi="Arial"/>
          <w:sz w:val="20"/>
          <w:szCs w:val="20"/>
        </w:rPr>
        <w:t xml:space="preserve">Utah Associated Municipal Power Systems, UAMPS Board Votes to Terminate NuScale Carbon Free Power Project, press release, November 2023.</w:t>
      </w:r>
    </w:p>
    <w:p>
      <w:pPr>
        <w:spacing w:after="80" w:before="0" w:line="276"/>
      </w:pPr>
      <w:r>
        <w:rPr>
          <w:rFonts w:ascii="Arial" w:cs="Arial" w:eastAsia="Arial" w:hAnsi="Arial"/>
          <w:b/>
          <w:bCs/>
          <w:sz w:val="20"/>
          <w:szCs w:val="20"/>
        </w:rPr>
        <w:t xml:space="preserve">33. </w:t>
      </w:r>
      <w:r>
        <w:rPr>
          <w:rFonts w:ascii="Arial" w:cs="Arial" w:eastAsia="Arial" w:hAnsi="Arial"/>
          <w:sz w:val="20"/>
          <w:szCs w:val="20"/>
        </w:rPr>
        <w:t xml:space="preserve">Ontario Power Generation, Darlington New Nuclear Project Cost and Schedule Update, reported by Reuters and Globe and Mail, 2025. Note: FOAK cost from developer reporting.</w:t>
      </w:r>
    </w:p>
    <w:p>
      <w:pPr>
        <w:spacing w:after="80" w:before="0" w:line="276"/>
      </w:pPr>
      <w:r>
        <w:rPr>
          <w:rFonts w:ascii="Arial" w:cs="Arial" w:eastAsia="Arial" w:hAnsi="Arial"/>
          <w:b/>
          <w:bCs/>
          <w:sz w:val="20"/>
          <w:szCs w:val="20"/>
        </w:rPr>
        <w:t xml:space="preserve">34. </w:t>
      </w:r>
      <w:r>
        <w:rPr>
          <w:rFonts w:ascii="Arial" w:cs="Arial" w:eastAsia="Arial" w:hAnsi="Arial"/>
          <w:sz w:val="20"/>
          <w:szCs w:val="20"/>
        </w:rPr>
        <w:t xml:space="preserve">TerraPower project cost estimates per DOE Pathways to Commercial Liftoff: Advanced Nuclear, March 2024, and industry reporting. Note: estimate, not final contracted cost.</w:t>
      </w:r>
    </w:p>
    <w:p>
      <w:pPr>
        <w:spacing w:after="80" w:before="0" w:line="276"/>
      </w:pPr>
      <w:r>
        <w:rPr>
          <w:rFonts w:ascii="Arial" w:cs="Arial" w:eastAsia="Arial" w:hAnsi="Arial"/>
          <w:b/>
          <w:bCs/>
          <w:sz w:val="20"/>
          <w:szCs w:val="20"/>
        </w:rPr>
        <w:t xml:space="preserve">35. </w:t>
      </w:r>
      <w:r>
        <w:rPr>
          <w:rFonts w:ascii="Arial" w:cs="Arial" w:eastAsia="Arial" w:hAnsi="Arial"/>
          <w:sz w:val="20"/>
          <w:szCs w:val="20"/>
        </w:rPr>
        <w:t xml:space="preserve">BWXT Advanced Technologies, Project Pele Reactor Core Delivered to Idaho National Laboratory, press release, November 2025; U.S. Air Force, Oklo Aurora PPA announcement, 2024; U.S. Army, Janus Program factsheet, 2025.</w:t>
      </w:r>
    </w:p>
    <w:p>
      <w:pPr>
        <w:spacing w:after="80" w:before="0" w:line="276"/>
      </w:pPr>
      <w:r>
        <w:rPr>
          <w:rFonts w:ascii="Arial" w:cs="Arial" w:eastAsia="Arial" w:hAnsi="Arial"/>
          <w:b/>
          <w:bCs/>
          <w:sz w:val="20"/>
          <w:szCs w:val="20"/>
        </w:rPr>
        <w:t xml:space="preserve">36. </w:t>
      </w:r>
      <w:r>
        <w:rPr>
          <w:rFonts w:ascii="Arial" w:cs="Arial" w:eastAsia="Arial" w:hAnsi="Arial"/>
          <w:sz w:val="20"/>
          <w:szCs w:val="20"/>
        </w:rPr>
        <w:t xml:space="preserve">U.S. Nuclear Regulatory Commission, Design Certification Applications for New Reactors, historical timeline data (NRC ADAMS). NuScale: SDA submitted December 2016, certified August 2023 (~6.5 years). AP1000: application 2002, amended DCD certified 2011 (~9.5 years).</w:t>
      </w:r>
    </w:p>
    <w:p>
      <w:pPr>
        <w:spacing w:after="80" w:before="0" w:line="276"/>
      </w:pPr>
      <w:r>
        <w:rPr>
          <w:rFonts w:ascii="Arial" w:cs="Arial" w:eastAsia="Arial" w:hAnsi="Arial"/>
          <w:b/>
          <w:bCs/>
          <w:sz w:val="20"/>
          <w:szCs w:val="20"/>
        </w:rPr>
        <w:t xml:space="preserve">37. </w:t>
      </w:r>
      <w:r>
        <w:rPr>
          <w:rFonts w:ascii="Arial" w:cs="Arial" w:eastAsia="Arial" w:hAnsi="Arial"/>
          <w:sz w:val="20"/>
          <w:szCs w:val="20"/>
        </w:rPr>
        <w:t xml:space="preserve">U.S. Energy Information Administration, Electric Power Monthly, Table 6.7.B (Capacity Factors by Energy Source), 2024 annual averages.</w:t>
      </w:r>
    </w:p>
    <w:p>
      <w:pPr>
        <w:spacing w:after="80" w:before="0" w:line="276"/>
      </w:pPr>
      <w:r>
        <w:rPr>
          <w:rFonts w:ascii="Arial" w:cs="Arial" w:eastAsia="Arial" w:hAnsi="Arial"/>
          <w:b/>
          <w:bCs/>
          <w:sz w:val="20"/>
          <w:szCs w:val="20"/>
        </w:rPr>
        <w:t xml:space="preserve">38. </w:t>
      </w:r>
      <w:r>
        <w:rPr>
          <w:rFonts w:ascii="Arial" w:cs="Arial" w:eastAsia="Arial" w:hAnsi="Arial"/>
          <w:sz w:val="20"/>
          <w:szCs w:val="20"/>
        </w:rPr>
        <w:t xml:space="preserve">Lazard, Lazard’s Levelized Cost of Energy Analysis, version 18.0 (v18), June 2025, including Lazard’s Levelized Cost of Energy+ (firming analysis). Note: widely cited private-sector screening tool; not a system-planning authority.</w:t>
      </w:r>
    </w:p>
    <w:p>
      <w:pPr>
        <w:spacing w:after="80" w:before="0" w:line="276"/>
      </w:pPr>
      <w:r>
        <w:rPr>
          <w:rFonts w:ascii="Arial" w:cs="Arial" w:eastAsia="Arial" w:hAnsi="Arial"/>
          <w:b/>
          <w:bCs/>
          <w:sz w:val="20"/>
          <w:szCs w:val="20"/>
        </w:rPr>
        <w:t xml:space="preserve">39. </w:t>
      </w:r>
      <w:r>
        <w:rPr>
          <w:rFonts w:ascii="Arial" w:cs="Arial" w:eastAsia="Arial" w:hAnsi="Arial"/>
          <w:sz w:val="20"/>
          <w:szCs w:val="20"/>
        </w:rPr>
        <w:t xml:space="preserve">U.S. Energy Information Administration, Uranium Marketing Annual Report, 2024; IAEA / OECD-NEA, Uranium: Resources, Production and Demand (Red Book), 2024 edition.</w:t>
      </w:r>
    </w:p>
    <w:p>
      <w:pPr>
        <w:spacing w:after="80" w:before="0" w:line="276"/>
      </w:pPr>
      <w:r>
        <w:rPr>
          <w:rFonts w:ascii="Arial" w:cs="Arial" w:eastAsia="Arial" w:hAnsi="Arial"/>
          <w:b/>
          <w:bCs/>
          <w:sz w:val="20"/>
          <w:szCs w:val="20"/>
        </w:rPr>
        <w:t xml:space="preserve">40. </w:t>
      </w:r>
      <w:r>
        <w:rPr>
          <w:rFonts w:ascii="Arial" w:cs="Arial" w:eastAsia="Arial" w:hAnsi="Arial"/>
          <w:sz w:val="20"/>
          <w:szCs w:val="20"/>
        </w:rPr>
        <w:t xml:space="preserve">Centrus Energy Corp., HALEU Production Update, SEC Form 10-K, FY2025; DOE, HALEU Availability Program, updated 2025.</w:t>
      </w:r>
    </w:p>
    <w:p>
      <w:pPr>
        <w:spacing w:after="80" w:before="0" w:line="276"/>
      </w:pPr>
      <w:r>
        <w:rPr>
          <w:rFonts w:ascii="Arial" w:cs="Arial" w:eastAsia="Arial" w:hAnsi="Arial"/>
          <w:b/>
          <w:bCs/>
          <w:sz w:val="20"/>
          <w:szCs w:val="20"/>
        </w:rPr>
        <w:t xml:space="preserve">41. </w:t>
      </w:r>
      <w:r>
        <w:rPr>
          <w:rFonts w:ascii="Arial" w:cs="Arial" w:eastAsia="Arial" w:hAnsi="Arial"/>
          <w:sz w:val="20"/>
          <w:szCs w:val="20"/>
        </w:rPr>
        <w:t xml:space="preserve">U.S. Department of Energy, DOE Awards $2.7 Billion in HALEU Enrichment Contracts, press release, October 2024.</w:t>
      </w:r>
    </w:p>
    <w:p>
      <w:pPr>
        <w:spacing w:after="80" w:before="0" w:line="276"/>
      </w:pPr>
      <w:r>
        <w:rPr>
          <w:rFonts w:ascii="Arial" w:cs="Arial" w:eastAsia="Arial" w:hAnsi="Arial"/>
          <w:b/>
          <w:bCs/>
          <w:sz w:val="20"/>
          <w:szCs w:val="20"/>
        </w:rPr>
        <w:t xml:space="preserve">42. </w:t>
      </w:r>
      <w:r>
        <w:rPr>
          <w:rFonts w:ascii="Arial" w:cs="Arial" w:eastAsia="Arial" w:hAnsi="Arial"/>
          <w:sz w:val="20"/>
          <w:szCs w:val="20"/>
        </w:rPr>
        <w:t xml:space="preserve">ADVANCE Act of 2024, Pub. L. 118-67, signed July 9, 2024; Senate vote 88-2, House vote 393-13.</w:t>
      </w:r>
    </w:p>
    <w:p>
      <w:pPr>
        <w:spacing w:after="80" w:before="0" w:line="276"/>
      </w:pPr>
      <w:r>
        <w:rPr>
          <w:rFonts w:ascii="Arial" w:cs="Arial" w:eastAsia="Arial" w:hAnsi="Arial"/>
          <w:b/>
          <w:bCs/>
          <w:sz w:val="20"/>
          <w:szCs w:val="20"/>
        </w:rPr>
        <w:t xml:space="preserve">43. </w:t>
      </w:r>
      <w:r>
        <w:rPr>
          <w:rFonts w:ascii="Arial" w:cs="Arial" w:eastAsia="Arial" w:hAnsi="Arial"/>
          <w:sz w:val="20"/>
          <w:szCs w:val="20"/>
        </w:rPr>
        <w:t xml:space="preserve">U.S. Nuclear Regulatory Commission, 10 CFR Part 53, Risk-Informed, Technology-Inclusive Regulatory Framework for Advanced Nuclear Reactors, Final Rule, 91 Fed. Reg. (March 30, 2026).</w:t>
      </w:r>
    </w:p>
    <w:p>
      <w:pPr>
        <w:spacing w:after="80" w:before="0" w:line="276"/>
      </w:pPr>
      <w:r>
        <w:rPr>
          <w:rFonts w:ascii="Arial" w:cs="Arial" w:eastAsia="Arial" w:hAnsi="Arial"/>
          <w:b/>
          <w:bCs/>
          <w:sz w:val="20"/>
          <w:szCs w:val="20"/>
        </w:rPr>
        <w:t xml:space="preserve">44. </w:t>
      </w:r>
      <w:r>
        <w:rPr>
          <w:rFonts w:ascii="Arial" w:cs="Arial" w:eastAsia="Arial" w:hAnsi="Arial"/>
          <w:sz w:val="20"/>
          <w:szCs w:val="20"/>
        </w:rPr>
        <w:t xml:space="preserve">DOE, Pathways to Commercial Liftoff: Advanced Nuclear, March 2024 (supply chain assessment).</w:t>
      </w:r>
    </w:p>
    <w:p>
      <w:pPr>
        <w:spacing w:after="80" w:before="0" w:line="276"/>
      </w:pPr>
      <w:r>
        <w:rPr>
          <w:rFonts w:ascii="Arial" w:cs="Arial" w:eastAsia="Arial" w:hAnsi="Arial"/>
          <w:b/>
          <w:bCs/>
          <w:sz w:val="20"/>
          <w:szCs w:val="20"/>
        </w:rPr>
        <w:t xml:space="preserve">45. </w:t>
      </w:r>
      <w:r>
        <w:rPr>
          <w:rFonts w:ascii="Arial" w:cs="Arial" w:eastAsia="Arial" w:hAnsi="Arial"/>
          <w:sz w:val="20"/>
          <w:szCs w:val="20"/>
        </w:rPr>
        <w:t xml:space="preserve">Nuclear Energy Institute, Nuclear Workforce Survey, 2024; DOE Office of Nuclear Energy, workforce data and analysis. Note: industry association survey data; used as best available workforce assessment.</w:t>
      </w:r>
    </w:p>
    <w:p>
      <w:pPr>
        <w:spacing w:after="80" w:before="0" w:line="276"/>
      </w:pPr>
      <w:r>
        <w:rPr>
          <w:rFonts w:ascii="Arial" w:cs="Arial" w:eastAsia="Arial" w:hAnsi="Arial"/>
          <w:b/>
          <w:bCs/>
          <w:sz w:val="20"/>
          <w:szCs w:val="20"/>
        </w:rPr>
        <w:t xml:space="preserve">46. </w:t>
      </w:r>
      <w:r>
        <w:rPr>
          <w:rFonts w:ascii="Arial" w:cs="Arial" w:eastAsia="Arial" w:hAnsi="Arial"/>
          <w:sz w:val="20"/>
          <w:szCs w:val="20"/>
        </w:rPr>
        <w:t xml:space="preserve">Markandya, A. and Wilkinson, P., Electricity generation and health, The Lancet, 370(9591):979-990, 2007. Note: peer-reviewed mortality comparison; the most widely cited source for this metric.</w:t>
      </w:r>
    </w:p>
    <w:p>
      <w:pPr>
        <w:spacing w:after="80" w:before="0" w:line="276"/>
      </w:pPr>
      <w:r>
        <w:rPr>
          <w:rFonts w:ascii="Arial" w:cs="Arial" w:eastAsia="Arial" w:hAnsi="Arial"/>
          <w:b/>
          <w:bCs/>
          <w:sz w:val="20"/>
          <w:szCs w:val="20"/>
        </w:rPr>
        <w:t xml:space="preserve">47. </w:t>
      </w:r>
      <w:r>
        <w:rPr>
          <w:rFonts w:ascii="Arial" w:cs="Arial" w:eastAsia="Arial" w:hAnsi="Arial"/>
          <w:sz w:val="20"/>
          <w:szCs w:val="20"/>
        </w:rPr>
        <w:t xml:space="preserve">U.S. Nuclear Regulatory Commission, Spent Fuel Storage in Pools and Dry Casks: Key Points and Questions &amp; Answers, updated 2025; NRC NUREG-1350.</w:t>
      </w:r>
    </w:p>
    <w:p>
      <w:pPr>
        <w:spacing w:after="80" w:before="0" w:line="276"/>
      </w:pPr>
      <w:r>
        <w:rPr>
          <w:rFonts w:ascii="Arial" w:cs="Arial" w:eastAsia="Arial" w:hAnsi="Arial"/>
          <w:b/>
          <w:bCs/>
          <w:sz w:val="20"/>
          <w:szCs w:val="20"/>
        </w:rPr>
        <w:t xml:space="preserve">48. </w:t>
      </w:r>
      <w:r>
        <w:rPr>
          <w:rFonts w:ascii="Arial" w:cs="Arial" w:eastAsia="Arial" w:hAnsi="Arial"/>
          <w:sz w:val="20"/>
          <w:szCs w:val="20"/>
        </w:rPr>
        <w:t xml:space="preserve">Westinghouse Electric Company, AP1000 Design Control Document, Rev. 19, NRC-certified; X-energy, Xe-100 TRISO fuel safety basis documentation; TerraPower, Natrium reactor design overview. Note: vendor design documentation; describes claimed design characteristics.</w:t>
      </w:r>
    </w:p>
    <w:p>
      <w:pPr>
        <w:spacing w:after="80" w:before="0" w:line="276"/>
      </w:pPr>
      <w:r>
        <w:rPr>
          <w:rFonts w:ascii="Arial" w:cs="Arial" w:eastAsia="Arial" w:hAnsi="Arial"/>
          <w:b/>
          <w:bCs/>
          <w:sz w:val="20"/>
          <w:szCs w:val="20"/>
        </w:rPr>
        <w:t xml:space="preserve">49. </w:t>
      </w:r>
      <w:r>
        <w:rPr>
          <w:rFonts w:ascii="Arial" w:cs="Arial" w:eastAsia="Arial" w:hAnsi="Arial"/>
          <w:sz w:val="20"/>
          <w:szCs w:val="20"/>
        </w:rPr>
        <w:t xml:space="preserve">IPCC, Climate Change 2022: Mitigation of Climate Change, Working Group III Contribution to the Sixth Assessment Report, Annex III (lifecycle emissions data).</w:t>
      </w:r>
    </w:p>
    <w:p>
      <w:pPr>
        <w:spacing w:after="80" w:before="0" w:line="276"/>
      </w:pPr>
      <w:r>
        <w:rPr>
          <w:rFonts w:ascii="Arial" w:cs="Arial" w:eastAsia="Arial" w:hAnsi="Arial"/>
          <w:b/>
          <w:bCs/>
          <w:sz w:val="20"/>
          <w:szCs w:val="20"/>
        </w:rPr>
        <w:t xml:space="preserve">50. </w:t>
      </w:r>
      <w:r>
        <w:rPr>
          <w:rFonts w:ascii="Arial" w:cs="Arial" w:eastAsia="Arial" w:hAnsi="Arial"/>
          <w:sz w:val="20"/>
          <w:szCs w:val="20"/>
        </w:rPr>
        <w:t xml:space="preserve">United Nations Economic Commission for Europe (UNECE), Carbon Neutrality in the UNECE Region: Integrated Life-cycle Assessment of Electricity Sources, 2022.</w:t>
      </w:r>
    </w:p>
    <w:p>
      <w:pPr>
        <w:spacing w:after="80" w:before="0" w:line="276"/>
      </w:pPr>
      <w:r>
        <w:rPr>
          <w:rFonts w:ascii="Arial" w:cs="Arial" w:eastAsia="Arial" w:hAnsi="Arial"/>
          <w:b/>
          <w:bCs/>
          <w:sz w:val="20"/>
          <w:szCs w:val="20"/>
        </w:rPr>
        <w:t xml:space="preserve">51. </w:t>
      </w:r>
      <w:r>
        <w:rPr>
          <w:rFonts w:ascii="Arial" w:cs="Arial" w:eastAsia="Arial" w:hAnsi="Arial"/>
          <w:sz w:val="20"/>
          <w:szCs w:val="20"/>
        </w:rPr>
        <w:t xml:space="preserve">Sepulveda, N.A., Jenkins, J.D., et al., The Role of Firm Low-Carbon Electricity Resources in Deep Decarbonization of Power Generation, Joule 2(11):2403-2420, 2018.</w:t>
      </w:r>
    </w:p>
    <w:p>
      <w:pPr>
        <w:spacing w:after="80" w:before="0" w:line="276"/>
      </w:pPr>
      <w:r>
        <w:rPr>
          <w:rFonts w:ascii="Arial" w:cs="Arial" w:eastAsia="Arial" w:hAnsi="Arial"/>
          <w:b/>
          <w:bCs/>
          <w:sz w:val="20"/>
          <w:szCs w:val="20"/>
        </w:rPr>
        <w:t xml:space="preserve">52. </w:t>
      </w:r>
      <w:r>
        <w:rPr>
          <w:rFonts w:ascii="Arial" w:cs="Arial" w:eastAsia="Arial" w:hAnsi="Arial"/>
          <w:sz w:val="20"/>
          <w:szCs w:val="20"/>
        </w:rPr>
        <w:t xml:space="preserve">IAEA Power Reactor Information System (PRIS) database, accessed March 2026; OECD Nuclear Energy Agency, Nuclear Energy Data, 2025.</w:t>
      </w:r>
    </w:p>
    <w:p>
      <w:pPr>
        <w:spacing w:after="80" w:before="0" w:line="276"/>
      </w:pPr>
      <w:r>
        <w:rPr>
          <w:rFonts w:ascii="Arial" w:cs="Arial" w:eastAsia="Arial" w:hAnsi="Arial"/>
          <w:b/>
          <w:bCs/>
          <w:sz w:val="20"/>
          <w:szCs w:val="20"/>
        </w:rPr>
        <w:t xml:space="preserve">53. </w:t>
      </w:r>
      <w:r>
        <w:rPr>
          <w:rFonts w:ascii="Arial" w:cs="Arial" w:eastAsia="Arial" w:hAnsi="Arial"/>
          <w:sz w:val="20"/>
          <w:szCs w:val="20"/>
        </w:rPr>
        <w:t xml:space="preserve">IAEA PRIS (foreign reactor construction data); OECD-NEA, Nuclear Energy and Climate Change, 2025; supplemented by World Nuclear Association market reporting. Note: Rosatom order portfolio figure derives from Rosatom annual reporting and should be treated as self-reported.</w:t>
      </w:r>
    </w:p>
    <w:sectPr>
      <w:headerReference w:type="default" r:id="rId7"/>
      <w:footerReference w:type="default" r:id="rId8"/>
      <w:headerReference w:type="first" r:id="rId10"/>
      <w:footerReference w:type="first"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after="0" w:before="0"/>
      <w:jc w:val="center"/>
    </w:pPr>
    <w:r>
      <w:rPr>
        <w:rFonts w:ascii="Arial" w:cs="Arial" w:eastAsia="Arial" w:hAnsi="Arial"/>
        <w:color w:val="999999"/>
        <w:sz w:val="16"/>
        <w:szCs w:val="16"/>
      </w:rPr>
      <w:t xml:space="preserve">Center for Competitive Statecraft &amp; Strategic Policy  |  collinbgeorge.com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spacing w:after="0"/>
      <w:jc w:val="right"/>
    </w:pPr>
    <w:r>
      <w:rPr>
        <w:rFonts w:ascii="Arial" w:cs="Arial" w:eastAsia="Arial" w:hAnsi="Arial"/>
        <w:color w:val="999999"/>
        <w:sz w:val="16"/>
        <w:szCs w:val="16"/>
      </w:rPr>
      <w:t xml:space="preserve">WP-2026-NUC-01 v4.0 FINAL  |  </w:t>
    </w:r>
    <w:r>
      <w:rPr>
        <w:rFonts w:ascii="Arial" w:cs="Arial" w:eastAsia="Arial" w:hAnsi="Arial"/>
        <w:b/>
        <w:bCs/>
        <w:color w:val="8B6914"/>
        <w:sz w:val="16"/>
        <w:szCs w:val="16"/>
      </w:rPr>
      <w:t xml:space="preserve">UNCLASSIFIED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140" w:before="240"/>
      <w:outlineLvl w:val="2"/>
    </w:pPr>
    <w:rPr>
      <w:rFonts w:ascii="Arial" w:cs="Arial" w:eastAsia="Arial" w:hAnsi="Arial"/>
      <w:b/>
      <w:bCs/>
      <w:color w:val="1B2A4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2026-04-05T23:50:41.136Z</dcterms:created>
  <dcterms:modified xsi:type="dcterms:W3CDTF">2026-04-05T23:50:41.138Z</dcterms:modified>
</cp:coreProperties>
</file>

<file path=docProps/custom.xml><?xml version="1.0" encoding="utf-8"?>
<Properties xmlns="http://schemas.openxmlformats.org/officeDocument/2006/custom-properties" xmlns:vt="http://schemas.openxmlformats.org/officeDocument/2006/docPropsVTypes"/>
</file>