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line="276"/>
      </w:pPr>
      <w:r>
        <w:rPr>
          <w:rFonts w:ascii="Arial" w:cs="Arial" w:eastAsia="Arial" w:hAnsi="Arial"/>
          <w:b/>
          <w:bCs/>
          <w:color w:val="8B6914"/>
          <w:sz w:val="20"/>
          <w:szCs w:val="20"/>
        </w:rPr>
        <w:t>WP-2026-ARCH-03  |  v4.0 FINAL</w:t>
      </w:r>
    </w:p>
    <w:p>
      <w:pPr>
        <w:pBdr>
          <w:bottom w:val="single" w:color="1B2A4A" w:sz="6" w:space="8"/>
        </w:pBdr>
        <w:spacing w:after="80"/>
      </w:pPr>
      <w:r>
        <w:rPr>
          <w:rFonts w:ascii="Arial" w:cs="Arial" w:eastAsia="Arial" w:hAnsi="Arial"/>
          <w:b/>
          <w:bCs/>
          <w:color w:val="1B2A4A"/>
          <w:sz w:val="40"/>
          <w:szCs w:val="40"/>
        </w:rPr>
        <w:t xml:space="preserve">Fentanyl Supply Chain Enforcement Architecture</w:t>
      </w:r>
    </w:p>
    <w:p>
      <w:pPr>
        <w:spacing w:after="400" w:before="0" w:line="276"/>
      </w:pPr>
      <w:r>
        <w:rPr>
          <w:rFonts w:ascii="Arial" w:cs="Arial" w:eastAsia="Arial" w:hAnsi="Arial"/>
          <w:color w:val="1B2A4A"/>
          <w:sz w:val="26"/>
          <w:szCs w:val="26"/>
        </w:rPr>
        <w:t xml:space="preserve">Financial Sanctions, Export Controls, and Material Support Prosecution for Cartel and Precursor Network Disruption</w:t>
      </w:r>
    </w:p>
    <w:p>
      <w:pPr>
        <w:spacing w:after="100" w:before="0" w:line="276"/>
      </w:pPr>
      <w:r>
        <w:rPr>
          <w:rFonts w:ascii="Arial" w:cs="Arial" w:eastAsia="Arial" w:hAnsi="Arial"/>
          <w:b/>
          <w:bCs/>
          <w:color w:val="1B2A4A"/>
          <w:sz w:val="22"/>
          <w:szCs w:val="22"/>
        </w:rPr>
        <w:t xml:space="preserve">Collin George</w:t>
      </w:r>
    </w:p>
    <w:p>
      <w:pPr>
        <w:spacing w:after="100" w:before="0" w:line="276"/>
      </w:pPr>
      <w:r>
        <w:rPr>
          <w:rFonts w:ascii="Arial" w:cs="Arial" w:eastAsia="Arial" w:hAnsi="Arial"/>
          <w:color w:val="666666"/>
          <w:sz w:val="20"/>
          <w:szCs w:val="20"/>
        </w:rPr>
        <w:t>Center for Competitive Statecraft &amp; Strategic Policy  |  collinbgeorge.com</w:t>
      </w:r>
    </w:p>
    <w:p>
      <w:pPr>
        <w:spacing w:after="600" w:before="0" w:line="276"/>
      </w:pPr>
      <w:r>
        <w:rPr>
          <w:rFonts w:ascii="Arial" w:cs="Arial" w:eastAsia="Arial" w:hAnsi="Arial"/>
          <w:color w:val="666666"/>
          <w:sz w:val="20"/>
          <w:szCs w:val="20"/>
        </w:rPr>
        <w:t xml:space="preserve">April 2026</w:t>
      </w:r>
    </w:p>
    <w:p>
      <w:pPr>
        <w:spacing w:after="200" w:before="0" w:line="276"/>
      </w:pPr>
      <w:r>
        <w:rPr>
          <w:rFonts w:ascii="Arial" w:cs="Arial" w:eastAsia="Arial" w:hAnsi="Arial"/>
          <w:b/>
          <w:bCs/>
          <w:color w:val="8B6914"/>
          <w:sz w:val="18"/>
          <w:szCs w:val="18"/>
        </w:rPr>
        <w:t xml:space="preserve">UNCLASSIFIED // OPEN SOURCE // INDEPENDENT POLICY RESEARCH</w:t>
      </w:r>
    </w:p>
    <w:p>
      <w:r>
        <w:br w:type="page"/>
      </w:r>
    </w:p>
    <w:p>
      <w:pPr>
        <w:pStyle w:val="Heading1"/>
        <w:spacing w:after="200" w:before="360"/>
      </w:pPr>
      <w:r>
        <w:rPr>
          <w:rFonts w:ascii="Arial" w:cs="Arial" w:eastAsia="Arial" w:hAnsi="Arial"/>
          <w:b/>
          <w:bCs/>
          <w:color w:val="1B2A4A"/>
          <w:sz w:val="30"/>
          <w:szCs w:val="30"/>
        </w:rPr>
        <w:t xml:space="preserve">Abstract</w:t>
      </w:r>
    </w:p>
    <w:p>
      <w:pPr>
        <w:spacing w:after="120" w:line="276"/>
      </w:pPr>
      <w:r>
        <w:rPr>
          <w:rFonts w:ascii="Arial" w:cs="Arial" w:eastAsia="Arial" w:hAnsi="Arial"/>
          <w:sz w:val="22"/>
          <w:szCs w:val="22"/>
          <w:color w:val="000000"/>
        </w:rPr>
        <w:t xml:space="preserve">An enforcement architecture for disrupting fentanyl precursor supply chains through coordinated application of Section 311 financial isolation, asset substitution (§ 981(k)), whistleblower incentives (§ 5323), and enhanced notice procedures. Targets: PRC precursor manufacturers supplying FTO-designated cartels (Sinaloa, CJNG). Core analytical contribution: February 2025 FTO designations opened § 2339B material support exposure for precursor suppliers; enhanced notice procedures may strengthen the knowledge element for investigative consideration on a case-by-case basis. Each mechanism is presented in six-part format (authority, threshold, procedural path, evidentiary basis, legal risks, operational effect). Limitations: open-source data only; scenario-conditioned projections; no humanitarian impact assessment performed; PRC cooperation thresholds and cartel adaptation timelines not established in available reporting.</w:t>
      </w:r>
    </w:p>
    <w:p>
      <w:pPr>
        <w:pStyle w:val="Heading1"/>
        <w:spacing w:after="200" w:before="360"/>
      </w:pPr>
      <w:r>
        <w:rPr>
          <w:rFonts w:ascii="Arial" w:cs="Arial" w:eastAsia="Arial" w:hAnsi="Arial"/>
          <w:b/>
          <w:bCs/>
          <w:color w:val="1B2A4A"/>
          <w:sz w:val="30"/>
          <w:szCs w:val="30"/>
        </w:rPr>
        <w:t xml:space="preserve">1. Executive Summary</w:t>
      </w:r>
    </w:p>
    <w:p>
      <w:pPr>
        <w:spacing w:after="120" w:line="276"/>
      </w:pPr>
      <w:r>
        <w:rPr>
          <w:rFonts w:ascii="Arial" w:cs="Arial" w:eastAsia="Arial" w:hAnsi="Arial"/>
          <w:sz w:val="22"/>
          <w:szCs w:val="22"/>
        </w:rPr>
        <w:t xml:space="preserve">This paper analyzes the legal basis, evidentiary requirements, procedural paths, and principal litigation risks for an integrated enforcement framework targeting illicit fentanyl precursor supply chains. The framework coordinates four statutory authorities—31 U.S.C. § 5318A (Section 311 PMLC designation), 18 U.S.C. § 981(k) (asset substitution), 31 U.S.C. § 5323 (whistleblower incentives), and enhanced notice procedures—against Chinese precursor manufacturers supplying FTO-designated Mexican cartels (Sinaloa, CJNG).</w:t>
      </w:r>
    </w:p>
    <w:p>
      <w:pPr>
        <w:spacing w:after="120" w:line="276"/>
      </w:pPr>
      <w:r>
        <w:rPr>
          <w:rFonts w:ascii="Arial" w:cs="Arial" w:eastAsia="Arial" w:hAnsi="Arial"/>
          <w:sz w:val="22"/>
          <w:szCs w:val="22"/>
        </w:rPr>
        <w:t xml:space="preserve">Each proposed mechanism is presented in six-part format: (1) statutory authority; (2) threshold showing required; (3) procedural path; (4) evidentiary basis presently available; (5) principal litigation risks; (6) operational effect if sustained. This structure reflects the standard of review applicable to administrative enforcement actions and the discretionary decision points at which agency action requires interagency concurrence or executive authorization.</w:t>
      </w:r>
    </w:p>
    <w:p>
      <w:pPr>
        <w:pStyle w:val="Heading1"/>
        <w:spacing w:after="200" w:before="360"/>
      </w:pPr>
      <w:r>
        <w:rPr>
          <w:rFonts w:ascii="Arial" w:cs="Arial" w:eastAsia="Arial" w:hAnsi="Arial"/>
          <w:b/>
          <w:bCs/>
          <w:color w:val="1B2A4A"/>
          <w:sz w:val="30"/>
          <w:szCs w:val="30"/>
        </w:rPr>
        <w:t xml:space="preserve">2. Key Judgments</w:t>
      </w:r>
    </w:p>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HIGH CONFIDENCE  ·  Almost Certainly</w:t>
            </w:r>
          </w:p>
          <w:p>
            <w:pPr>
              <w:spacing w:after="80" w:line="276"/>
            </w:pPr>
            <w:r>
              <w:rPr>
                <w:rFonts w:ascii="Arial" w:cs="Arial" w:eastAsia="Arial" w:hAnsi="Arial"/>
                <w:sz w:val="20"/>
                <w:szCs w:val="20"/>
              </w:rPr>
              <w:t xml:space="preserve">Where notice is documented, end-user designation is established, transaction continuation is shown, and jurisdictional nexus can be demonstrated, the enhanced notice procedure may materially strengthen the evidentiary basis for investigative or charging consideration under 18 U.S.C. § 2339B. This judgment is limited to the evidentiary effect of notice on the knowledge element; it does not assess prosecutorial discretion, jury outcomes, or appellate durability.</w:t>
            </w:r>
          </w:p>
          <w:p>
            <w:pPr>
              <w:spacing w:after="0"/>
            </w:pPr>
            <w:r>
              <w:rPr>
                <w:rFonts w:ascii="Arial" w:cs="Arial" w:eastAsia="Arial" w:hAnsi="Arial"/>
                <w:i/>
                <w:iCs/>
                <w:color w:val="4A5568"/>
                <w:sz w:val="18"/>
                <w:szCs w:val="18"/>
              </w:rPr>
              <w:t xml:space="preserve">Basis: Tier 1 statutory text (§ 2339B(a)(1) knowledge element). Tier 1 precedent (United States v. Al Kassar, 660 F.3d 108, 2d Cir. 2011). Directly supported by plain language analysis of the knowledge requirement.</w:t>
            </w:r>
          </w:p>
          <w:p>
            <w:pPr>
              <w:spacing w:after="120" w:line="276"/>
            </w:pPr>
            <w:r>
              <w:rPr>
                <w:rFonts w:ascii="Arial" w:cs="Arial" w:eastAsia="Arial" w:hAnsi="Arial"/>
                <w:sz w:val="18"/>
                <w:szCs w:val="18"/>
                <w:color w:val="4A5568"/>
                <w:i/>
                <w:iCs/>
              </w:rPr>
              <w:t xml:space="preserve">Tier Key: Tier 1 = Primary government source, official reporting, or enacted statutory authority. Tier 2 = Analytically inferred from corroborated reporting, private-sector data, or scenario-based assessment.</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Coordinated Section 311 PMLC designation and § 981(k) asset substitution actions, assuming sufficient administrative record development, are likely to increase transaction costs across targeted cartel financial networks, subject to enforcement persistence and adversary adaptation.</w:t>
            </w:r>
          </w:p>
          <w:p>
            <w:pPr>
              <w:spacing w:after="0"/>
            </w:pPr>
            <w:r>
              <w:rPr>
                <w:rFonts w:ascii="Arial" w:cs="Arial" w:eastAsia="Arial" w:hAnsi="Arial"/>
                <w:i/>
                <w:iCs/>
                <w:color w:val="4A5568"/>
                <w:sz w:val="18"/>
                <w:szCs w:val="18"/>
              </w:rPr>
              <w:t xml:space="preserve">Basis: Tier 1 enforcement precedent (OFAC Hizballah network actions 2024–2025; USVSST Fund $2.8B distribution January 2026). Constrained by limited observation of cartel financial network adaptation.</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LOW-MODERATE CONFIDENCE · SCENARIO-CONDITIONED  ·  Roughly Even Odds to Likely</w:t>
            </w:r>
          </w:p>
          <w:p>
            <w:pPr>
              <w:spacing w:after="80" w:line="276"/>
            </w:pPr>
            <w:r>
              <w:rPr>
                <w:rFonts w:ascii="Arial" w:cs="Arial" w:eastAsia="Arial" w:hAnsi="Arial"/>
                <w:sz w:val="20"/>
                <w:szCs w:val="20"/>
              </w:rPr>
              <w:t xml:space="preserve">Sustained enforcement over 24–36 months may degrade targeted cartel revenue channels by 30–60%, contingent on enforcement persistence, PRC regulatory cooperation, precursor substitution speed, and the adequacy of administrative records supporting each individual action. This estimate is scenario-conditioned and not a prediction.</w:t>
            </w:r>
          </w:p>
          <w:p>
            <w:pPr>
              <w:spacing w:after="0"/>
            </w:pPr>
            <w:r>
              <w:rPr>
                <w:rFonts w:ascii="Arial" w:cs="Arial" w:eastAsia="Arial" w:hAnsi="Arial"/>
                <w:i/>
                <w:iCs/>
                <w:color w:val="4A5568"/>
                <w:sz w:val="18"/>
                <w:szCs w:val="18"/>
              </w:rPr>
              <w:t xml:space="preserve">Basis: Tier 2 analytic inference from DEA revenue estimates and OFAC historical yield. The available reporting does not permit a firm conclusion on cartel network elasticity.</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The § 5323 whistleblower program may generate actionable intelligence from within precursor supply networks, subject to the effectiveness of outreach in PRC cultural and legal contexts for which no direct precedent exists.</w:t>
            </w:r>
          </w:p>
          <w:p>
            <w:pPr>
              <w:spacing w:after="0"/>
            </w:pPr>
            <w:r>
              <w:rPr>
                <w:rFonts w:ascii="Arial" w:cs="Arial" w:eastAsia="Arial" w:hAnsi="Arial"/>
                <w:i/>
                <w:iCs/>
                <w:color w:val="4A5568"/>
                <w:sz w:val="18"/>
                <w:szCs w:val="18"/>
              </w:rPr>
              <w:t xml:space="preserve">Basis: Tier 1 statutory framework. Tier 2 inference from analogous IRS/SEC whistleblower yields. Constrained by absence of § 5323 precedent in PRC chemical sector.</w:t>
            </w:r>
          </w:p>
        </w:tc>
      </w:tr>
    </w:tbl>
    <w:p>
      <w:pPr>
        <w:spacing w:after="120" w:line="276"/>
      </w:pPr>
      <w:r>
        <w:rPr>
          <w:rFonts w:ascii="Arial" w:cs="Arial" w:eastAsia="Arial" w:hAnsi="Arial"/>
          <w:sz w:val="22"/>
          <w:szCs w:val="22"/>
        </w:rPr>
        <w:t xml:space="preserve"/>
      </w:r>
    </w:p>
    <w:p>
      <w:pPr>
        <w:pStyle w:val="Heading1"/>
        <w:spacing w:after="200" w:before="360"/>
      </w:pPr>
      <w:r>
        <w:rPr>
          <w:rFonts w:ascii="Arial" w:cs="Arial" w:eastAsia="Arial" w:hAnsi="Arial"/>
          <w:b/>
          <w:bCs/>
          <w:color w:val="1B2A4A"/>
          <w:sz w:val="30"/>
          <w:szCs w:val="30"/>
        </w:rPr>
        <w:t xml:space="preserve">3. Analytic Distinctions</w:t>
      </w:r>
    </w:p>
    <w:p>
      <w:pPr>
        <w:pStyle w:val="Heading2"/>
        <w:spacing w:after="160" w:before="280"/>
      </w:pPr>
      <w:r>
        <w:rPr>
          <w:rFonts w:ascii="Arial" w:cs="Arial" w:eastAsia="Arial" w:hAnsi="Arial"/>
          <w:b/>
          <w:bCs/>
          <w:color w:val="1B2A4A"/>
          <w:sz w:val="24"/>
          <w:szCs w:val="24"/>
        </w:rPr>
        <w:t xml:space="preserve">3.1 Observed / Officially Reported</w:t>
      </w:r>
    </w:p>
    <w:p>
      <w:pPr>
        <w:pStyle w:val="ListParagraph"/>
        <w:numPr>
          <w:ilvl w:val="0"/>
          <w:numId w:val="2"/>
        </w:numPr>
        <w:spacing w:after="80" w:line="276"/>
      </w:pPr>
      <w:r>
        <w:rPr>
          <w:rFonts w:ascii="Arial" w:cs="Arial" w:eastAsia="Arial" w:hAnsi="Arial"/>
          <w:sz w:val="22"/>
          <w:szCs w:val="22"/>
        </w:rPr>
        <w:t xml:space="preserve">State Department designated Sinaloa and CJNG as FTOs in February 2025 [Tier 1].</w:t>
      </w:r>
    </w:p>
    <w:p>
      <w:pPr>
        <w:pStyle w:val="ListParagraph"/>
        <w:numPr>
          <w:ilvl w:val="0"/>
          <w:numId w:val="2"/>
        </w:numPr>
        <w:spacing w:after="80" w:line="276"/>
      </w:pPr>
      <w:r>
        <w:rPr>
          <w:rFonts w:ascii="Arial" w:cs="Arial" w:eastAsia="Arial" w:hAnsi="Arial"/>
          <w:sz w:val="22"/>
          <w:szCs w:val="22"/>
        </w:rPr>
        <w:t xml:space="preserve">FEND Off Fentanyl Act (Pub. L. 117-263, § 6216) incorporated fentanyl trafficking as enumerated predicate offense under § 5318A(a)(1) [Tier 1].</w:t>
      </w:r>
    </w:p>
    <w:p>
      <w:pPr>
        <w:pStyle w:val="ListParagraph"/>
        <w:numPr>
          <w:ilvl w:val="0"/>
          <w:numId w:val="2"/>
        </w:numPr>
        <w:spacing w:after="80" w:line="276"/>
      </w:pPr>
      <w:r>
        <w:rPr>
          <w:rFonts w:ascii="Arial" w:cs="Arial" w:eastAsia="Arial" w:hAnsi="Arial"/>
          <w:sz w:val="22"/>
          <w:szCs w:val="22"/>
        </w:rPr>
        <w:t xml:space="preserve">CDC provisional data: 107,543 overdose deaths in 2023; 74,702 involving synthetic opioids [Tier 1 — CDC WONDER].</w:t>
      </w:r>
    </w:p>
    <w:p>
      <w:pPr>
        <w:pStyle w:val="ListParagraph"/>
        <w:numPr>
          <w:ilvl w:val="0"/>
          <w:numId w:val="2"/>
        </w:numPr>
        <w:spacing w:after="80" w:line="276"/>
      </w:pPr>
      <w:r>
        <w:rPr>
          <w:rFonts w:ascii="Arial" w:cs="Arial" w:eastAsia="Arial" w:hAnsi="Arial"/>
          <w:sz w:val="22"/>
          <w:szCs w:val="22"/>
        </w:rPr>
        <w:t xml:space="preserve">DEA estimates: cartel U.S. drug proceeds $13–29B annually, fentanyl ~40–50% [Tier 1 — DEA/INCSR 2024–25].</w:t>
      </w:r>
    </w:p>
    <w:p>
      <w:pPr>
        <w:pStyle w:val="ListParagraph"/>
        <w:numPr>
          <w:ilvl w:val="0"/>
          <w:numId w:val="2"/>
        </w:numPr>
        <w:spacing w:after="80" w:line="276"/>
      </w:pPr>
      <w:r>
        <w:rPr>
          <w:rFonts w:ascii="Arial" w:cs="Arial" w:eastAsia="Arial" w:hAnsi="Arial"/>
          <w:sz w:val="22"/>
          <w:szCs w:val="22"/>
        </w:rPr>
        <w:t xml:space="preserve">USVSST Fund distributed $2.8B in January 2026 (34 U.S.C. § 20144) [Tier 1].</w:t>
      </w:r>
    </w:p>
    <w:p>
      <w:pPr>
        <w:pStyle w:val="Heading2"/>
        <w:spacing w:after="160" w:before="280"/>
      </w:pPr>
      <w:r>
        <w:rPr>
          <w:rFonts w:ascii="Arial" w:cs="Arial" w:eastAsia="Arial" w:hAnsi="Arial"/>
          <w:b/>
          <w:bCs/>
          <w:color w:val="1B2A4A"/>
          <w:sz w:val="24"/>
          <w:szCs w:val="24"/>
        </w:rPr>
        <w:t xml:space="preserve">3.2 Assessment (Analytically Inferred)</w:t>
      </w:r>
    </w:p>
    <w:p>
      <w:pPr>
        <w:pStyle w:val="ListParagraph"/>
        <w:numPr>
          <w:ilvl w:val="0"/>
          <w:numId w:val="3"/>
        </w:numPr>
        <w:spacing w:after="80" w:line="276"/>
      </w:pPr>
      <w:r>
        <w:rPr>
          <w:rFonts w:ascii="Arial" w:cs="Arial" w:eastAsia="Arial" w:hAnsi="Arial"/>
          <w:sz w:val="22"/>
          <w:szCs w:val="22"/>
        </w:rPr>
        <w:t xml:space="preserve">FTO designation may have created § 2339B material support exposure for PRC precursor suppliers, subject to case-specific proof of knowledge, nexus, and admissible evidence.</w:t>
      </w:r>
    </w:p>
    <w:p>
      <w:pPr>
        <w:pStyle w:val="ListParagraph"/>
        <w:numPr>
          <w:ilvl w:val="0"/>
          <w:numId w:val="3"/>
        </w:numPr>
        <w:spacing w:after="80" w:line="276"/>
      </w:pPr>
      <w:r>
        <w:rPr>
          <w:rFonts w:ascii="Arial" w:cs="Arial" w:eastAsia="Arial" w:hAnsi="Arial"/>
          <w:sz w:val="22"/>
          <w:szCs w:val="22"/>
        </w:rPr>
        <w:t xml:space="preserve">Enhanced notice procedures could strengthen the knowledge element in subsequent investigations, assuming documented service, established end-user designation, and demonstrated transaction continuation.</w:t>
      </w:r>
    </w:p>
    <w:p>
      <w:pPr>
        <w:pStyle w:val="Heading2"/>
        <w:spacing w:after="160" w:before="280"/>
      </w:pPr>
      <w:r>
        <w:rPr>
          <w:rFonts w:ascii="Arial" w:cs="Arial" w:eastAsia="Arial" w:hAnsi="Arial"/>
          <w:b/>
          <w:bCs/>
          <w:color w:val="1B2A4A"/>
          <w:sz w:val="24"/>
          <w:szCs w:val="24"/>
        </w:rPr>
        <w:t xml:space="preserve">3.3 Not Established</w:t>
      </w:r>
    </w:p>
    <w:p>
      <w:pPr>
        <w:pStyle w:val="ListParagraph"/>
        <w:numPr>
          <w:ilvl w:val="0"/>
          <w:numId w:val="4"/>
        </w:numPr>
        <w:spacing w:after="80" w:line="276"/>
      </w:pPr>
      <w:r>
        <w:rPr>
          <w:rFonts w:ascii="Arial" w:cs="Arial" w:eastAsia="Arial" w:hAnsi="Arial"/>
          <w:sz w:val="22"/>
          <w:szCs w:val="22"/>
        </w:rPr>
        <w:t xml:space="preserve">Prosecutorial viability in any individual case (requires case-specific record, grand jury assessment, and charging decision subject to DOJ discretion).</w:t>
      </w:r>
    </w:p>
    <w:p>
      <w:pPr>
        <w:pStyle w:val="ListParagraph"/>
        <w:numPr>
          <w:ilvl w:val="0"/>
          <w:numId w:val="4"/>
        </w:numPr>
        <w:spacing w:after="80" w:line="276"/>
      </w:pPr>
      <w:r>
        <w:rPr>
          <w:rFonts w:ascii="Arial" w:cs="Arial" w:eastAsia="Arial" w:hAnsi="Arial"/>
          <w:sz w:val="22"/>
          <w:szCs w:val="22"/>
        </w:rPr>
        <w:t xml:space="preserve">PRC supplier knowledge of end-user FTO status absent formal notice delivery.</w:t>
      </w:r>
    </w:p>
    <w:p>
      <w:pPr>
        <w:pStyle w:val="ListParagraph"/>
        <w:numPr>
          <w:ilvl w:val="0"/>
          <w:numId w:val="4"/>
        </w:numPr>
        <w:spacing w:after="80" w:line="276"/>
      </w:pPr>
      <w:r>
        <w:rPr>
          <w:rFonts w:ascii="Arial" w:cs="Arial" w:eastAsia="Arial" w:hAnsi="Arial"/>
          <w:sz w:val="22"/>
          <w:szCs w:val="22"/>
        </w:rPr>
        <w:t xml:space="preserve">Cartel financial network reconstitution timelines after enforcement action.</w:t>
      </w:r>
    </w:p>
    <w:p>
      <w:pPr>
        <w:pStyle w:val="Heading1"/>
        <w:spacing w:after="200" w:before="360"/>
      </w:pPr>
      <w:r>
        <w:rPr>
          <w:rFonts w:ascii="Arial" w:cs="Arial" w:eastAsia="Arial" w:hAnsi="Arial"/>
          <w:b/>
          <w:bCs/>
          <w:color w:val="1B2A4A"/>
          <w:sz w:val="30"/>
          <w:szCs w:val="30"/>
        </w:rPr>
        <w:t xml:space="preserve">4. Institutional Recommendation Posture</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DOCUMENT STATUS: </w:t>
      </w:r>
      <w:r>
        <w:rPr>
          <w:rFonts w:ascii="Arial" w:cs="Arial" w:eastAsia="Arial" w:hAnsi="Arial"/>
          <w:sz w:val="20"/>
          <w:szCs w:val="20"/>
        </w:rPr>
        <w:t xml:space="preserve">This paper is suitable for legal-policy assessment and exploratory enforcement review. It does not constitute a recommendation for specific enforcement action. Individual actions require: (1) case-specific administrative record development; (2) interagency legal consultation (Treasury OGC, DOJ/AFMLS, FinCEN Legal Division); (3) humanitarian impact screening; (4) executive-level authorization at appropriate decision thresholds. Classified supplementation may be required for actions relying on intelligence-derived attribution.</w:t>
      </w:r>
    </w:p>
    <w:p>
      <w:pPr>
        <w:pStyle w:val="Heading1"/>
        <w:spacing w:after="200" w:before="360"/>
      </w:pPr>
      <w:r>
        <w:rPr>
          <w:rFonts w:ascii="Arial" w:cs="Arial" w:eastAsia="Arial" w:hAnsi="Arial"/>
          <w:b/>
          <w:bCs/>
          <w:color w:val="1B2A4A"/>
          <w:sz w:val="30"/>
          <w:szCs w:val="30"/>
        </w:rPr>
        <w:t xml:space="preserve">5. Enforcement Architecture</w:t>
      </w:r>
    </w:p>
    <w:p>
      <w:pPr>
        <w:spacing w:after="120" w:line="276"/>
      </w:pPr>
      <w:r>
        <w:rPr>
          <w:rFonts w:ascii="Arial" w:cs="Arial" w:eastAsia="Arial" w:hAnsi="Arial"/>
          <w:sz w:val="22"/>
          <w:szCs w:val="22"/>
        </w:rPr>
        <w:t xml:space="preserve">Each mechanism is presented in six-part format: Authority, Threshold Showing, Procedural Path, Evidentiary Basis, Principal Legal Risks, and Operational Effect.</w:t>
      </w:r>
    </w:p>
    <w:p>
      <w:pPr>
        <w:pStyle w:val="Heading2"/>
        <w:spacing w:after="160" w:before="280"/>
      </w:pPr>
      <w:r>
        <w:rPr>
          <w:rFonts w:ascii="Arial" w:cs="Arial" w:eastAsia="Arial" w:hAnsi="Arial"/>
          <w:b/>
          <w:bCs/>
          <w:color w:val="1B2A4A"/>
          <w:sz w:val="24"/>
          <w:szCs w:val="24"/>
        </w:rPr>
        <w:t xml:space="preserve">5.1 Section 311 PMLC Designation</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31 U.S.C. § 5318A(a)(1) as amended by the FEND Off Fentanyl Act (Pub. L. 117-263, § 6216). Fifth special measure under § 5318A(b)(5) prohibits U.S. correspondent accounts. Mandatory termination under § 5318(j)(2)–(3) for § 5318(k) subpoena non-compliance. Civil penalties: $50,000/day under § 5321(a)(1).</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5"/>
        </w:numPr>
        <w:spacing w:after="80" w:line="276"/>
      </w:pPr>
      <w:r>
        <w:rPr>
          <w:rFonts w:ascii="Arial" w:cs="Arial" w:eastAsia="Arial" w:hAnsi="Arial"/>
          <w:sz w:val="22"/>
          <w:szCs w:val="22"/>
        </w:rPr>
        <w:t xml:space="preserve">Reasonable grounds to conclude that the foreign financial institution, class of transactions, or jurisdiction is of primary money laundering concern (§ 5318A(c) factors).</w:t>
      </w:r>
    </w:p>
    <w:p>
      <w:pPr>
        <w:pStyle w:val="ListParagraph"/>
        <w:numPr>
          <w:ilvl w:val="0"/>
          <w:numId w:val="5"/>
        </w:numPr>
        <w:spacing w:after="80" w:line="276"/>
      </w:pPr>
      <w:r>
        <w:rPr>
          <w:rFonts w:ascii="Arial" w:cs="Arial" w:eastAsia="Arial" w:hAnsi="Arial"/>
          <w:sz w:val="22"/>
          <w:szCs w:val="22"/>
        </w:rPr>
        <w:t xml:space="preserve">Nexus between designated entity and fentanyl trafficking (FEND Off Fentanyl predicate).</w:t>
      </w:r>
    </w:p>
    <w:p>
      <w:pPr>
        <w:pStyle w:val="ListParagraph"/>
        <w:numPr>
          <w:ilvl w:val="0"/>
          <w:numId w:val="5"/>
        </w:numPr>
        <w:spacing w:after="80" w:line="276"/>
      </w:pPr>
      <w:r>
        <w:rPr>
          <w:rFonts w:ascii="Arial" w:cs="Arial" w:eastAsia="Arial" w:hAnsi="Arial"/>
          <w:sz w:val="22"/>
          <w:szCs w:val="22"/>
        </w:rPr>
        <w:t xml:space="preserve">Proportionality analysis: that the special measure is commensurate with the identified risk.</w:t>
      </w:r>
    </w:p>
    <w:p>
      <w:pPr>
        <w:spacing w:after="120" w:before="200"/>
      </w:pPr>
      <w:r>
        <w:rPr>
          <w:rFonts w:ascii="Arial" w:cs="Arial" w:eastAsia="Arial" w:hAnsi="Arial"/>
          <w:b/>
          <w:bCs/>
          <w:color w:val="4A5568"/>
          <w:sz w:val="22"/>
          <w:szCs w:val="22"/>
        </w:rPr>
        <w:t xml:space="preserve">Procedural Path</w:t>
      </w:r>
    </w:p>
    <w:p>
      <w:pPr>
        <w:pStyle w:val="ListParagraph"/>
        <w:numPr>
          <w:ilvl w:val="0"/>
          <w:numId w:val="6"/>
        </w:numPr>
        <w:spacing w:after="80" w:line="276"/>
      </w:pPr>
      <w:r>
        <w:rPr>
          <w:rFonts w:ascii="Arial" w:cs="Arial" w:eastAsia="Arial" w:hAnsi="Arial"/>
          <w:sz w:val="22"/>
          <w:szCs w:val="22"/>
        </w:rPr>
        <w:t xml:space="preserve">FinCEN develops administrative record based on SAR aggregation, blockchain forensics, and intelligence reporting.</w:t>
      </w:r>
    </w:p>
    <w:p>
      <w:pPr>
        <w:pStyle w:val="ListParagraph"/>
        <w:numPr>
          <w:ilvl w:val="0"/>
          <w:numId w:val="6"/>
        </w:numPr>
        <w:spacing w:after="80" w:line="276"/>
      </w:pPr>
      <w:r>
        <w:rPr>
          <w:rFonts w:ascii="Arial" w:cs="Arial" w:eastAsia="Arial" w:hAnsi="Arial"/>
          <w:sz w:val="22"/>
          <w:szCs w:val="22"/>
        </w:rPr>
        <w:t xml:space="preserve">FinCEN issues Notice of Proposed Rulemaking (NPRM) or Notice of Finding under § 5318A.</w:t>
      </w:r>
    </w:p>
    <w:p>
      <w:pPr>
        <w:pStyle w:val="ListParagraph"/>
        <w:numPr>
          <w:ilvl w:val="0"/>
          <w:numId w:val="6"/>
        </w:numPr>
        <w:spacing w:after="80" w:line="276"/>
      </w:pPr>
      <w:r>
        <w:rPr>
          <w:rFonts w:ascii="Arial" w:cs="Arial" w:eastAsia="Arial" w:hAnsi="Arial"/>
          <w:sz w:val="22"/>
          <w:szCs w:val="22"/>
        </w:rPr>
        <w:t xml:space="preserve">Interagency consultation: Treasury OGC, DOJ/AFMLS, State Department (for foreign policy equities).</w:t>
      </w:r>
    </w:p>
    <w:p>
      <w:pPr>
        <w:pStyle w:val="ListParagraph"/>
        <w:numPr>
          <w:ilvl w:val="0"/>
          <w:numId w:val="6"/>
        </w:numPr>
        <w:spacing w:after="80" w:line="276"/>
      </w:pPr>
      <w:r>
        <w:rPr>
          <w:rFonts w:ascii="Arial" w:cs="Arial" w:eastAsia="Arial" w:hAnsi="Arial"/>
          <w:sz w:val="22"/>
          <w:szCs w:val="22"/>
        </w:rPr>
        <w:t xml:space="preserve">Public comment period (if NPRM) or immediate effectiveness (if Finding with national security justification).</w:t>
      </w:r>
    </w:p>
    <w:p>
      <w:pPr>
        <w:pStyle w:val="ListParagraph"/>
        <w:numPr>
          <w:ilvl w:val="0"/>
          <w:numId w:val="6"/>
        </w:numPr>
        <w:spacing w:after="80" w:line="276"/>
      </w:pPr>
      <w:r>
        <w:rPr>
          <w:rFonts w:ascii="Arial" w:cs="Arial" w:eastAsia="Arial" w:hAnsi="Arial"/>
          <w:sz w:val="22"/>
          <w:szCs w:val="22"/>
        </w:rPr>
        <w:t xml:space="preserve">Final rule or finding published in Federal Register.</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PMLC designation is a discretionary Treasury action. FinCEN Director determines whether the administrative record supports the finding. The Secretary of the Treasury has final authority. Interagency review through the TFFC or Deputies Committee may be required for designations with significant foreign policy implications.</w:t>
      </w:r>
    </w:p>
    <w:p>
      <w:pPr>
        <w:spacing w:after="120" w:before="200"/>
      </w:pPr>
      <w:r>
        <w:rPr>
          <w:rFonts w:ascii="Arial" w:cs="Arial" w:eastAsia="Arial" w:hAnsi="Arial"/>
          <w:b/>
          <w:bCs/>
          <w:color w:val="4A5568"/>
          <w:sz w:val="22"/>
          <w:szCs w:val="22"/>
        </w:rPr>
        <w:t xml:space="preserve">Evidentiary Basis Presently Available</w:t>
      </w:r>
    </w:p>
    <w:p>
      <w:pPr>
        <w:pStyle w:val="ListParagraph"/>
        <w:numPr>
          <w:ilvl w:val="0"/>
          <w:numId w:val="7"/>
        </w:numPr>
        <w:spacing w:after="80" w:line="276"/>
      </w:pPr>
      <w:r>
        <w:rPr>
          <w:rFonts w:ascii="Arial" w:cs="Arial" w:eastAsia="Arial" w:hAnsi="Arial"/>
          <w:sz w:val="22"/>
          <w:szCs w:val="22"/>
        </w:rPr>
        <w:t xml:space="preserve">Established: FEND Off Fentanyl Act predicate authority; FTO designation of Sinaloa/CJNG [Tier 1].</w:t>
      </w:r>
    </w:p>
    <w:p>
      <w:pPr>
        <w:pStyle w:val="ListParagraph"/>
        <w:numPr>
          <w:ilvl w:val="0"/>
          <w:numId w:val="7"/>
        </w:numPr>
        <w:spacing w:after="80" w:line="276"/>
      </w:pPr>
      <w:r>
        <w:rPr>
          <w:rFonts w:ascii="Arial" w:cs="Arial" w:eastAsia="Arial" w:hAnsi="Arial"/>
          <w:sz w:val="22"/>
          <w:szCs w:val="22"/>
        </w:rPr>
        <w:t xml:space="preserve">Likely inferable: transaction patterns linking PRC banks/casas de cambio to precursor procurement (FinCEN SAR aggregation) [Tier 1–2].</w:t>
      </w:r>
    </w:p>
    <w:p>
      <w:pPr>
        <w:pStyle w:val="ListParagraph"/>
        <w:numPr>
          <w:ilvl w:val="0"/>
          <w:numId w:val="7"/>
        </w:numPr>
        <w:spacing w:after="80" w:line="276"/>
      </w:pPr>
      <w:r>
        <w:rPr>
          <w:rFonts w:ascii="Arial" w:cs="Arial" w:eastAsia="Arial" w:hAnsi="Arial"/>
          <w:sz w:val="22"/>
          <w:szCs w:val="22"/>
        </w:rPr>
        <w:t xml:space="preserve">Requires development: specific transaction-level evidence linking individual institutions to designated end-users; beneficial ownership documentation for shell entities; blockchain forensics linking cryptocurrency flows to precursor purchases.</w:t>
      </w:r>
    </w:p>
    <w:p>
      <w:pPr>
        <w:pStyle w:val="ListParagraph"/>
        <w:numPr>
          <w:ilvl w:val="0"/>
          <w:numId w:val="7"/>
        </w:numPr>
        <w:spacing w:after="80" w:line="276"/>
      </w:pPr>
      <w:r>
        <w:rPr>
          <w:rFonts w:ascii="Arial" w:cs="Arial" w:eastAsia="Arial" w:hAnsi="Arial"/>
          <w:sz w:val="22"/>
          <w:szCs w:val="22"/>
        </w:rPr>
        <w:t xml:space="preserve">Insufficiently supported at present: any specific PMLC designation targeting a named institution without case-specific record development.</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8"/>
        </w:numPr>
        <w:spacing w:after="80" w:line="276"/>
      </w:pPr>
      <w:r>
        <w:rPr>
          <w:rFonts w:ascii="Arial" w:cs="Arial" w:eastAsia="Arial" w:hAnsi="Arial"/>
          <w:sz w:val="22"/>
          <w:szCs w:val="22"/>
        </w:rPr>
        <w:t xml:space="preserve">APA arbitrariness challenge: designation must be supported by reasoned explanation and substantial evidence in the administrative record. Conclusory findings may be vacated under Motor Vehicle Mfrs. Ass’n v. State Farm, 463 U.S. 29 (1983).</w:t>
      </w:r>
    </w:p>
    <w:p>
      <w:pPr>
        <w:pStyle w:val="ListParagraph"/>
        <w:numPr>
          <w:ilvl w:val="0"/>
          <w:numId w:val="8"/>
        </w:numPr>
        <w:spacing w:after="80" w:line="276"/>
      </w:pPr>
      <w:r>
        <w:rPr>
          <w:rFonts w:ascii="Arial" w:cs="Arial" w:eastAsia="Arial" w:hAnsi="Arial"/>
          <w:sz w:val="22"/>
          <w:szCs w:val="22"/>
        </w:rPr>
        <w:t xml:space="preserve">Overbreadth: designation of entire classes of transactions (§ 5318A(a)(4)(A)) rather than individual institutions may face proportionality challenge if the record does not differentiate high-risk from legitimate commerce within the designated class.</w:t>
      </w:r>
    </w:p>
    <w:p>
      <w:pPr>
        <w:pStyle w:val="ListParagraph"/>
        <w:numPr>
          <w:ilvl w:val="0"/>
          <w:numId w:val="8"/>
        </w:numPr>
        <w:spacing w:after="80" w:line="276"/>
      </w:pPr>
      <w:r>
        <w:rPr>
          <w:rFonts w:ascii="Arial" w:cs="Arial" w:eastAsia="Arial" w:hAnsi="Arial"/>
          <w:sz w:val="22"/>
          <w:szCs w:val="22"/>
        </w:rPr>
        <w:t xml:space="preserve">Lawful commerce burden: designation must demonstrate that the special measure does not unreasonably burden lawful financial activity, including humanitarian remittances.</w:t>
      </w:r>
    </w:p>
    <w:p>
      <w:pPr>
        <w:pStyle w:val="ListParagraph"/>
        <w:numPr>
          <w:ilvl w:val="0"/>
          <w:numId w:val="8"/>
        </w:numPr>
        <w:spacing w:after="80" w:line="276"/>
      </w:pPr>
      <w:r>
        <w:rPr>
          <w:rFonts w:ascii="Arial" w:cs="Arial" w:eastAsia="Arial" w:hAnsi="Arial"/>
          <w:sz w:val="22"/>
          <w:szCs w:val="22"/>
        </w:rPr>
        <w:t xml:space="preserve">Record insufficiency: if the administrative record relies substantially on classified intelligence, the public record may be insufficient to sustain judicial review under the substantial evidence standard.</w:t>
      </w:r>
    </w:p>
    <w:p>
      <w:pPr>
        <w:spacing w:after="120" w:before="200"/>
      </w:pPr>
      <w:r>
        <w:rPr>
          <w:rFonts w:ascii="Arial" w:cs="Arial" w:eastAsia="Arial" w:hAnsi="Arial"/>
          <w:b/>
          <w:bCs/>
          <w:color w:val="4A5568"/>
          <w:sz w:val="22"/>
          <w:szCs w:val="22"/>
        </w:rPr>
        <w:t xml:space="preserve">Operational Effect (If Sustained)</w:t>
      </w:r>
    </w:p>
    <w:p>
      <w:pPr>
        <w:spacing w:after="120" w:line="276"/>
      </w:pPr>
      <w:r>
        <w:rPr>
          <w:rFonts w:ascii="Arial" w:cs="Arial" w:eastAsia="Arial" w:hAnsi="Arial"/>
          <w:sz w:val="22"/>
          <w:szCs w:val="22"/>
        </w:rPr>
        <w:t xml:space="preserve">If the designation is sustained and enforced, U.S. correspondent banks would be required to reject transactions involving designated entities. Foreign banks face a compliance choice between maintaining U.S. correspondent access and continuing relationships with designated entities. The operational effect is assessed as likely to increase transaction costs for targeted networks, subject to adversary adaptation (see Section 11).</w:t>
      </w:r>
    </w:p>
    <w:p>
      <w:pPr>
        <w:pStyle w:val="Heading2"/>
        <w:spacing w:after="160" w:before="280"/>
      </w:pPr>
      <w:r>
        <w:rPr>
          <w:rFonts w:ascii="Arial" w:cs="Arial" w:eastAsia="Arial" w:hAnsi="Arial"/>
          <w:b/>
          <w:bCs/>
          <w:color w:val="1B2A4A"/>
          <w:sz w:val="24"/>
          <w:szCs w:val="24"/>
        </w:rPr>
        <w:t xml:space="preserve">5.2 Enhanced Notice Procedures</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18 U.S.C. § 2339B (material support for FTO). Extraterritorial jurisdiction under § 2339B(d)(1)(C). FEND Off Fentanyl Act (§ 6217) for chemical classification authority.</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9"/>
        </w:numPr>
        <w:spacing w:after="80" w:line="276"/>
      </w:pPr>
      <w:r>
        <w:rPr>
          <w:rFonts w:ascii="Arial" w:cs="Arial" w:eastAsia="Arial" w:hAnsi="Arial"/>
          <w:sz w:val="22"/>
          <w:szCs w:val="22"/>
        </w:rPr>
        <w:t xml:space="preserve">Knowledge element: § 2339B(a)(1) requires proof that the defendant knew the organization was a designated FTO or had engaged in relevant terrorist activity. Notice delivery is designed to establish this element.</w:t>
      </w:r>
    </w:p>
    <w:p>
      <w:pPr>
        <w:pStyle w:val="ListParagraph"/>
        <w:numPr>
          <w:ilvl w:val="0"/>
          <w:numId w:val="9"/>
        </w:numPr>
        <w:spacing w:after="80" w:line="276"/>
      </w:pPr>
      <w:r>
        <w:rPr>
          <w:rFonts w:ascii="Arial" w:cs="Arial" w:eastAsia="Arial" w:hAnsi="Arial"/>
          <w:sz w:val="22"/>
          <w:szCs w:val="22"/>
        </w:rPr>
        <w:t xml:space="preserve">Material support: proof that the defendant provided “material support or resources” as defined in 18 U.S.C. § 2339A(b)(1).</w:t>
      </w:r>
    </w:p>
    <w:p>
      <w:pPr>
        <w:pStyle w:val="ListParagraph"/>
        <w:numPr>
          <w:ilvl w:val="0"/>
          <w:numId w:val="9"/>
        </w:numPr>
        <w:spacing w:after="80" w:line="276"/>
      </w:pPr>
      <w:r>
        <w:rPr>
          <w:rFonts w:ascii="Arial" w:cs="Arial" w:eastAsia="Arial" w:hAnsi="Arial"/>
          <w:sz w:val="22"/>
          <w:szCs w:val="22"/>
        </w:rPr>
        <w:t xml:space="preserve">Jurisdictional nexus: proof that the transaction entered U.S. commerce or affected U.S. persons (§ 2339B(d)(1)(C)), subject to case-specific analysis.</w:t>
      </w:r>
    </w:p>
    <w:p>
      <w:pPr>
        <w:spacing w:after="120" w:before="200"/>
      </w:pPr>
      <w:r>
        <w:rPr>
          <w:rFonts w:ascii="Arial" w:cs="Arial" w:eastAsia="Arial" w:hAnsi="Arial"/>
          <w:b/>
          <w:bCs/>
          <w:color w:val="4A5568"/>
          <w:sz w:val="22"/>
          <w:szCs w:val="22"/>
        </w:rPr>
        <w:t xml:space="preserve">Procedural Path</w:t>
      </w:r>
    </w:p>
    <w:p>
      <w:pPr>
        <w:pStyle w:val="ListParagraph"/>
        <w:numPr>
          <w:ilvl w:val="0"/>
          <w:numId w:val="10"/>
        </w:numPr>
        <w:spacing w:after="80" w:line="276"/>
      </w:pPr>
      <w:r>
        <w:rPr>
          <w:rFonts w:ascii="Arial" w:cs="Arial" w:eastAsia="Arial" w:hAnsi="Arial"/>
          <w:sz w:val="22"/>
          <w:szCs w:val="22"/>
        </w:rPr>
        <w:t xml:space="preserve">Treasury delivers formal Notice of End-User Status via registered mail to identified precursor suppliers, documenting: (a) FTO designation of end-user; (b) chemical classification under FEND Off Fentanyl; (c) statutory obligations under § 2339B.</w:t>
      </w:r>
    </w:p>
    <w:p>
      <w:pPr>
        <w:pStyle w:val="ListParagraph"/>
        <w:numPr>
          <w:ilvl w:val="0"/>
          <w:numId w:val="10"/>
        </w:numPr>
        <w:spacing w:after="80" w:line="276"/>
      </w:pPr>
      <w:r>
        <w:rPr>
          <w:rFonts w:ascii="Arial" w:cs="Arial" w:eastAsia="Arial" w:hAnsi="Arial"/>
          <w:sz w:val="22"/>
          <w:szCs w:val="22"/>
        </w:rPr>
        <w:t xml:space="preserve">Service documentation preserved for evidentiary use.</w:t>
      </w:r>
    </w:p>
    <w:p>
      <w:pPr>
        <w:pStyle w:val="ListParagraph"/>
        <w:numPr>
          <w:ilvl w:val="0"/>
          <w:numId w:val="10"/>
        </w:numPr>
        <w:spacing w:after="80" w:line="276"/>
      </w:pPr>
      <w:r>
        <w:rPr>
          <w:rFonts w:ascii="Arial" w:cs="Arial" w:eastAsia="Arial" w:hAnsi="Arial"/>
          <w:sz w:val="22"/>
          <w:szCs w:val="22"/>
        </w:rPr>
        <w:t xml:space="preserve">Post-notice transaction monitoring via FinCEN SAR aggregation and blockchain forensics.</w:t>
      </w:r>
    </w:p>
    <w:p>
      <w:pPr>
        <w:pStyle w:val="ListParagraph"/>
        <w:numPr>
          <w:ilvl w:val="0"/>
          <w:numId w:val="10"/>
        </w:numPr>
        <w:spacing w:after="80" w:line="276"/>
      </w:pPr>
      <w:r>
        <w:rPr>
          <w:rFonts w:ascii="Arial" w:cs="Arial" w:eastAsia="Arial" w:hAnsi="Arial"/>
          <w:sz w:val="22"/>
          <w:szCs w:val="22"/>
        </w:rPr>
        <w:t xml:space="preserve">Referral to DOJ for investigative or charging consideration where post-notice transactions are identified.</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DOJ retains exclusive prosecutorial discretion. Notice delivery does not compel investigation or prosecution. Charging decisions are subject to DOJ Principles of Federal Prosecution (§ 9-27.000, USAM) including sufficiency of evidence, federal interest, and adequacy of available alternatives. Extraterritorial prosecution requires Main Justice authorization.</w:t>
      </w:r>
    </w:p>
    <w:p>
      <w:pPr>
        <w:spacing w:after="120" w:before="200"/>
      </w:pPr>
      <w:r>
        <w:rPr>
          <w:rFonts w:ascii="Arial" w:cs="Arial" w:eastAsia="Arial" w:hAnsi="Arial"/>
          <w:b/>
          <w:bCs/>
          <w:color w:val="4A5568"/>
          <w:sz w:val="22"/>
          <w:szCs w:val="22"/>
        </w:rPr>
        <w:t xml:space="preserve">Evidentiary Basis Presently Available</w:t>
      </w:r>
    </w:p>
    <w:p>
      <w:pPr>
        <w:pStyle w:val="ListParagraph"/>
        <w:numPr>
          <w:ilvl w:val="0"/>
          <w:numId w:val="11"/>
        </w:numPr>
        <w:spacing w:after="80" w:line="276"/>
      </w:pPr>
      <w:r>
        <w:rPr>
          <w:rFonts w:ascii="Arial" w:cs="Arial" w:eastAsia="Arial" w:hAnsi="Arial"/>
          <w:sz w:val="22"/>
          <w:szCs w:val="22"/>
        </w:rPr>
        <w:t xml:space="preserve">Established: FTO designation of Sinaloa/CJNG; statutory authority for notice delivery [Tier 1].</w:t>
      </w:r>
    </w:p>
    <w:p>
      <w:pPr>
        <w:pStyle w:val="ListParagraph"/>
        <w:numPr>
          <w:ilvl w:val="0"/>
          <w:numId w:val="11"/>
        </w:numPr>
        <w:spacing w:after="80" w:line="276"/>
      </w:pPr>
      <w:r>
        <w:rPr>
          <w:rFonts w:ascii="Arial" w:cs="Arial" w:eastAsia="Arial" w:hAnsi="Arial"/>
          <w:sz w:val="22"/>
          <w:szCs w:val="22"/>
        </w:rPr>
        <w:t xml:space="preserve">Likely inferable: identity of major PRC precursor suppliers (DEA/INCSR intelligence, open-source trade data) [Tier 1–2].</w:t>
      </w:r>
    </w:p>
    <w:p>
      <w:pPr>
        <w:pStyle w:val="ListParagraph"/>
        <w:numPr>
          <w:ilvl w:val="0"/>
          <w:numId w:val="11"/>
        </w:numPr>
        <w:spacing w:after="80" w:line="276"/>
      </w:pPr>
      <w:r>
        <w:rPr>
          <w:rFonts w:ascii="Arial" w:cs="Arial" w:eastAsia="Arial" w:hAnsi="Arial"/>
          <w:sz w:val="22"/>
          <w:szCs w:val="22"/>
        </w:rPr>
        <w:t xml:space="preserve">Requires development: documented notice service proof for each individual supplier; post-notice transaction evidence; jurisdictional nexus evidence for each transaction; admissible evidence of knowledge (as distinguished from constructive notice).</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2"/>
        </w:numPr>
        <w:spacing w:after="80" w:line="276"/>
      </w:pPr>
      <w:r>
        <w:rPr>
          <w:rFonts w:ascii="Arial" w:cs="Arial" w:eastAsia="Arial" w:hAnsi="Arial"/>
          <w:sz w:val="22"/>
          <w:szCs w:val="22"/>
        </w:rPr>
        <w:t xml:space="preserve">Scienter challenge: defendants may argue that notice delivery establishes constructive knowledge only, and that actual knowledge of specific FTO-designated end-user identity requires additional proof beyond formal notice.</w:t>
      </w:r>
    </w:p>
    <w:p>
      <w:pPr>
        <w:pStyle w:val="ListParagraph"/>
        <w:numPr>
          <w:ilvl w:val="0"/>
          <w:numId w:val="12"/>
        </w:numPr>
        <w:spacing w:after="80" w:line="276"/>
      </w:pPr>
      <w:r>
        <w:rPr>
          <w:rFonts w:ascii="Arial" w:cs="Arial" w:eastAsia="Arial" w:hAnsi="Arial"/>
          <w:sz w:val="22"/>
          <w:szCs w:val="22"/>
        </w:rPr>
        <w:t xml:space="preserve">Extraterritorial jurisdiction: PRC defendants will challenge U.S. jurisdiction. Nexus must be established on a case-by-case basis; Al Kassar (660 F.3d 108) supports extraterritorial application but under specific jurisdictional predicates that must be proved.</w:t>
      </w:r>
    </w:p>
    <w:p>
      <w:pPr>
        <w:pStyle w:val="ListParagraph"/>
        <w:numPr>
          <w:ilvl w:val="0"/>
          <w:numId w:val="12"/>
        </w:numPr>
        <w:spacing w:after="80" w:line="276"/>
      </w:pPr>
      <w:r>
        <w:rPr>
          <w:rFonts w:ascii="Arial" w:cs="Arial" w:eastAsia="Arial" w:hAnsi="Arial"/>
          <w:sz w:val="22"/>
          <w:szCs w:val="22"/>
        </w:rPr>
        <w:t xml:space="preserve">Dual-use defense: suppliers may assert legitimate industrial applications. Notice procedure addresses this by documenting end-user status, but the defense remains available at trial.</w:t>
      </w:r>
    </w:p>
    <w:p>
      <w:pPr>
        <w:pStyle w:val="ListParagraph"/>
        <w:numPr>
          <w:ilvl w:val="0"/>
          <w:numId w:val="12"/>
        </w:numPr>
        <w:spacing w:after="80" w:line="276"/>
      </w:pPr>
      <w:r>
        <w:rPr>
          <w:rFonts w:ascii="Arial" w:cs="Arial" w:eastAsia="Arial" w:hAnsi="Arial"/>
          <w:sz w:val="22"/>
          <w:szCs w:val="22"/>
        </w:rPr>
        <w:t xml:space="preserve">Evidentiary reliability: blockchain attribution and trade flow analysis may face Daubert challenges regarding methodology and error rates.</w:t>
      </w:r>
    </w:p>
    <w:p>
      <w:pPr>
        <w:spacing w:after="120" w:before="200"/>
      </w:pPr>
      <w:r>
        <w:rPr>
          <w:rFonts w:ascii="Arial" w:cs="Arial" w:eastAsia="Arial" w:hAnsi="Arial"/>
          <w:b/>
          <w:bCs/>
          <w:color w:val="4A5568"/>
          <w:sz w:val="22"/>
          <w:szCs w:val="22"/>
        </w:rPr>
        <w:t xml:space="preserve">Operational Effect (If Sustained)</w:t>
      </w:r>
    </w:p>
    <w:p>
      <w:pPr>
        <w:spacing w:after="120" w:line="276"/>
      </w:pPr>
      <w:r>
        <w:rPr>
          <w:rFonts w:ascii="Arial" w:cs="Arial" w:eastAsia="Arial" w:hAnsi="Arial"/>
          <w:sz w:val="22"/>
          <w:szCs w:val="22"/>
        </w:rPr>
        <w:t xml:space="preserve">Where notice is documented, end-user designation is established, transaction continuation is shown, and jurisdictional nexus can be demonstrated, the notice procedure may materially strengthen the evidentiary basis for investigative or charging consideration. The operational effect is assessed as the reduction of plausible deniability defenses available to precursor suppliers in subsequent proceedings.</w:t>
      </w:r>
    </w:p>
    <w:p>
      <w:pPr>
        <w:pStyle w:val="Heading2"/>
        <w:spacing w:after="160" w:before="280"/>
      </w:pPr>
      <w:r>
        <w:rPr>
          <w:rFonts w:ascii="Arial" w:cs="Arial" w:eastAsia="Arial" w:hAnsi="Arial"/>
          <w:b/>
          <w:bCs/>
          <w:color w:val="1B2A4A"/>
          <w:sz w:val="24"/>
          <w:szCs w:val="24"/>
        </w:rPr>
        <w:t xml:space="preserve">5.3 Whistleblower Incentive Program</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31 U.S.C. § 5323 (AML Act of 2020). Compensation: 10–30% of collected fines and forfeitures, capped at $5M per individual.</w:t>
      </w:r>
    </w:p>
    <w:p>
      <w:pPr>
        <w:spacing w:after="120" w:before="200"/>
      </w:pPr>
      <w:r>
        <w:rPr>
          <w:rFonts w:ascii="Arial" w:cs="Arial" w:eastAsia="Arial" w:hAnsi="Arial"/>
          <w:b/>
          <w:bCs/>
          <w:color w:val="4A5568"/>
          <w:sz w:val="22"/>
          <w:szCs w:val="22"/>
        </w:rPr>
        <w:t xml:space="preserve">Threshold Showing</w:t>
      </w:r>
    </w:p>
    <w:p>
      <w:pPr>
        <w:spacing w:after="120" w:line="276"/>
      </w:pPr>
      <w:r>
        <w:rPr>
          <w:rFonts w:ascii="Arial" w:cs="Arial" w:eastAsia="Arial" w:hAnsi="Arial"/>
          <w:sz w:val="22"/>
          <w:szCs w:val="22"/>
        </w:rPr>
        <w:t xml:space="preserve">Original information leading to successful enforcement action with monetary sanctions exceeding $1M (§ 5323(b)(1)).</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FinCEN administers the program. Tips submitted through encrypted portal. Award determination by FinCEN following successful enforcement action. Witness protection coordination with FBI for high-value defectors, subject to FBI discretion.</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Award amounts within the 10–30% range are determined by FinCEN based on significance of information, degree of assistance, and programmatic interest. No entitlement to award exists prior to final determination.</w:t>
      </w:r>
    </w:p>
    <w:p>
      <w:pPr>
        <w:spacing w:after="120" w:before="200"/>
      </w:pPr>
      <w:r>
        <w:rPr>
          <w:rFonts w:ascii="Arial" w:cs="Arial" w:eastAsia="Arial" w:hAnsi="Arial"/>
          <w:b/>
          <w:bCs/>
          <w:color w:val="4A5568"/>
          <w:sz w:val="22"/>
          <w:szCs w:val="22"/>
        </w:rPr>
        <w:t xml:space="preserve">Evidentiary Basis</w:t>
      </w:r>
    </w:p>
    <w:p>
      <w:pPr>
        <w:spacing w:after="120" w:line="276"/>
      </w:pPr>
      <w:r>
        <w:rPr>
          <w:rFonts w:ascii="Arial" w:cs="Arial" w:eastAsia="Arial" w:hAnsi="Arial"/>
          <w:sz w:val="22"/>
          <w:szCs w:val="22"/>
        </w:rPr>
        <w:t xml:space="preserve">Established: statutory framework and bounty structure [Tier 1]. Not established: effectiveness of outreach to PRC-based employees; cultural, legal (PRC state secrecy law), and personal security barriers to participation. Effectiveness estimates are analytically inferred from non-analogous IRS/SEC program yields [Tier 2].</w:t>
      </w:r>
    </w:p>
    <w:p>
      <w:pPr>
        <w:spacing w:after="120" w:before="200"/>
      </w:pPr>
      <w:r>
        <w:rPr>
          <w:rFonts w:ascii="Arial" w:cs="Arial" w:eastAsia="Arial" w:hAnsi="Arial"/>
          <w:b/>
          <w:bCs/>
          <w:color w:val="4A5568"/>
          <w:sz w:val="22"/>
          <w:szCs w:val="22"/>
        </w:rPr>
        <w:t xml:space="preserve">Principal Legal Risks</w:t>
      </w:r>
    </w:p>
    <w:p>
      <w:pPr>
        <w:spacing w:after="120" w:line="276"/>
      </w:pPr>
      <w:r>
        <w:rPr>
          <w:rFonts w:ascii="Arial" w:cs="Arial" w:eastAsia="Arial" w:hAnsi="Arial"/>
          <w:sz w:val="22"/>
          <w:szCs w:val="22"/>
        </w:rPr>
        <w:t xml:space="preserve">Limited direct legal risk to the U.S. government. Principal risk is program ineffectiveness rather than litigation exposure. Secondary risk: PRC counter-intelligence targeting of potential whistleblowers.</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effective, the program could generate actionable intelligence regarding precursor supply networks and financial flows. The operational effect is the creation of defection incentives that may degrade operational trust within supplier networks.</w:t>
      </w:r>
    </w:p>
    <w:p>
      <w:pPr>
        <w:pStyle w:val="Heading2"/>
        <w:spacing w:after="160" w:before="280"/>
      </w:pPr>
      <w:r>
        <w:rPr>
          <w:rFonts w:ascii="Arial" w:cs="Arial" w:eastAsia="Arial" w:hAnsi="Arial"/>
          <w:b/>
          <w:bCs/>
          <w:color w:val="1B2A4A"/>
          <w:sz w:val="24"/>
          <w:szCs w:val="24"/>
        </w:rPr>
        <w:t xml:space="preserve">5.4 Asset Substitution</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18 U.S.C. § 981(k). DOJ civil/criminal forfeiture under §§ 981–982.</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13"/>
        </w:numPr>
        <w:spacing w:after="80" w:line="276"/>
      </w:pPr>
      <w:r>
        <w:rPr>
          <w:rFonts w:ascii="Arial" w:cs="Arial" w:eastAsia="Arial" w:hAnsi="Arial"/>
          <w:sz w:val="22"/>
          <w:szCs w:val="22"/>
        </w:rPr>
        <w:t xml:space="preserve">Proof that the foreign bank holds proceeds of specified unlawful activity.</w:t>
      </w:r>
    </w:p>
    <w:p>
      <w:pPr>
        <w:pStyle w:val="ListParagraph"/>
        <w:numPr>
          <w:ilvl w:val="0"/>
          <w:numId w:val="13"/>
        </w:numPr>
        <w:spacing w:after="80" w:line="276"/>
      </w:pPr>
      <w:r>
        <w:rPr>
          <w:rFonts w:ascii="Arial" w:cs="Arial" w:eastAsia="Arial" w:hAnsi="Arial"/>
          <w:sz w:val="22"/>
          <w:szCs w:val="22"/>
        </w:rPr>
        <w:t xml:space="preserve">Proof that the foreign bank maintains a correspondent account in the United States.</w:t>
      </w:r>
    </w:p>
    <w:p>
      <w:pPr>
        <w:pStyle w:val="ListParagraph"/>
        <w:numPr>
          <w:ilvl w:val="0"/>
          <w:numId w:val="13"/>
        </w:numPr>
        <w:spacing w:after="80" w:line="276"/>
      </w:pPr>
      <w:r>
        <w:rPr>
          <w:rFonts w:ascii="Arial" w:cs="Arial" w:eastAsia="Arial" w:hAnsi="Arial"/>
          <w:sz w:val="22"/>
          <w:szCs w:val="22"/>
        </w:rPr>
        <w:t xml:space="preserve">Sufficient nexus between the illicit proceeds and the correspondent account balance.</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DOJ files civil forfeiture complaint in federal court. Seizure warrant or restraining order obtained. Foreign bank served through correspondent bank. Foreign bank may contest in U.S. proceedings.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DOJ prosecutorial discretion governs initiation. Significant diplomatic equities (particularly with PRC-domiciled banks) require Main Justice and potentially NSC-level review. The threshold at which PRC state intervention would shield PRC banks from § 981(k) seizure is a key unknown.</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4"/>
        </w:numPr>
        <w:spacing w:after="80" w:line="276"/>
      </w:pPr>
      <w:r>
        <w:rPr>
          <w:rFonts w:ascii="Arial" w:cs="Arial" w:eastAsia="Arial" w:hAnsi="Arial"/>
          <w:sz w:val="22"/>
          <w:szCs w:val="22"/>
        </w:rPr>
        <w:t xml:space="preserve">Sovereign immunity: PRC state-owned banks may assert FSIA defenses. Commercial activity exception (§ 1605(a)(2)) likely applies but must be established.</w:t>
      </w:r>
    </w:p>
    <w:p>
      <w:pPr>
        <w:pStyle w:val="ListParagraph"/>
        <w:numPr>
          <w:ilvl w:val="0"/>
          <w:numId w:val="14"/>
        </w:numPr>
        <w:spacing w:after="80" w:line="276"/>
      </w:pPr>
      <w:r>
        <w:rPr>
          <w:rFonts w:ascii="Arial" w:cs="Arial" w:eastAsia="Arial" w:hAnsi="Arial"/>
          <w:sz w:val="22"/>
          <w:szCs w:val="22"/>
        </w:rPr>
        <w:t xml:space="preserve">Due process: adequate notice and opportunity to be heard for the foreign bank.</w:t>
      </w:r>
    </w:p>
    <w:p>
      <w:pPr>
        <w:pStyle w:val="ListParagraph"/>
        <w:numPr>
          <w:ilvl w:val="0"/>
          <w:numId w:val="14"/>
        </w:numPr>
        <w:spacing w:after="80" w:line="276"/>
      </w:pPr>
      <w:r>
        <w:rPr>
          <w:rFonts w:ascii="Arial" w:cs="Arial" w:eastAsia="Arial" w:hAnsi="Arial"/>
          <w:sz w:val="22"/>
          <w:szCs w:val="22"/>
        </w:rPr>
        <w:t xml:space="preserve">Proportionality: seizure amount must bear reasonable relationship to identified illicit proceeds.</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sustained, § 981(k) presents foreign banks with a compliance choice between maintaining U.S. correspondent access and continuing relationships with targeted entities. The operational effect is assessed as significant commercial pressure, based on precedent ($2.8B USVSST distribution, January 2026 [Tier 1]).</w:t>
      </w:r>
    </w:p>
    <w:p>
      <w:pPr>
        <w:pStyle w:val="Heading1"/>
        <w:spacing w:after="200" w:before="360"/>
      </w:pPr>
      <w:r>
        <w:rPr>
          <w:rFonts w:ascii="Arial" w:cs="Arial" w:eastAsia="Arial" w:hAnsi="Arial"/>
          <w:b/>
          <w:bCs/>
          <w:color w:val="1B2A4A"/>
          <w:sz w:val="30"/>
          <w:szCs w:val="30"/>
        </w:rPr>
        <w:t xml:space="preserve">6. Domain-Specific Application</w:t>
      </w:r>
    </w:p>
    <w:p>
      <w:pPr>
        <w:pStyle w:val="Heading2"/>
        <w:spacing w:after="160" w:before="280"/>
      </w:pPr>
      <w:r>
        <w:rPr>
          <w:rFonts w:ascii="Arial" w:cs="Arial" w:eastAsia="Arial" w:hAnsi="Arial"/>
          <w:b/>
          <w:bCs/>
          <w:color w:val="1B2A4A"/>
          <w:sz w:val="24"/>
          <w:szCs w:val="24"/>
        </w:rPr>
        <w:t xml:space="preserve">6.1 Precursor Chemical Supply Chain</w:t>
      </w:r>
    </w:p>
    <w:p>
      <w:pPr>
        <w:spacing w:after="120" w:line="276"/>
      </w:pPr>
      <w:r>
        <w:rPr>
          <w:rFonts w:ascii="Arial" w:cs="Arial" w:eastAsia="Arial" w:hAnsi="Arial"/>
          <w:sz w:val="22"/>
          <w:szCs w:val="22"/>
        </w:rPr>
        <w:t xml:space="preserve">FEND Off Fentanyl Act (§ 6217) authorizes designation based on diversion risk rather than inherent illegality [Tier 1]. Enhanced notice procedures address the dual-use defense by documenting end-user status, but the defense remains available at trial and the record must demonstrate that the specific chemical at issue was subject to valid scheduling or diversion risk finding.</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RECORD REQUIREMENT: </w:t>
      </w:r>
      <w:r>
        <w:rPr>
          <w:rFonts w:ascii="Arial" w:cs="Arial" w:eastAsia="Arial" w:hAnsi="Arial"/>
          <w:sz w:val="20"/>
          <w:szCs w:val="20"/>
        </w:rPr>
        <w:t xml:space="preserve">Minimum record for notice-based action against a specific supplier: (1) documentary linkage to FTO-designated end-user; (2) chemical classification under FEND Off Fentanyl or scheduling; (3) notice service proof (registered mail, delivery confirmation); (4) post-notice transaction evidence; (5) jurisdictional nexus documentation.</w:t>
      </w:r>
    </w:p>
    <w:p>
      <w:pPr>
        <w:pStyle w:val="Heading2"/>
        <w:spacing w:after="160" w:before="280"/>
      </w:pPr>
      <w:r>
        <w:rPr>
          <w:rFonts w:ascii="Arial" w:cs="Arial" w:eastAsia="Arial" w:hAnsi="Arial"/>
          <w:b/>
          <w:bCs/>
          <w:color w:val="1B2A4A"/>
          <w:sz w:val="24"/>
          <w:szCs w:val="24"/>
        </w:rPr>
        <w:t xml:space="preserve">6.2 Real Estate Reporting Rule</w:t>
      </w:r>
    </w:p>
    <w:p>
      <w:pPr>
        <w:spacing w:after="120" w:line="276"/>
      </w:pPr>
      <w:r>
        <w:rPr>
          <w:rFonts w:ascii="Arial" w:cs="Arial" w:eastAsia="Arial" w:hAnsi="Arial"/>
          <w:sz w:val="22"/>
          <w:szCs w:val="22"/>
        </w:rPr>
        <w:t xml:space="preserve">31 C.F.R. § 1010.370 (effective March 1, 2026) enables cross-reference with FinCEN GTOs in high-risk metropolitan areas [Tier 1]. This is an intelligence-development tool that feeds into the enforcement architecture at two points. First, RRE transaction data cross-referenced with GTO analysis may identify cartel asset placement patterns that support the evidentiary basis for § 981(k) forfeiture actions—real estate transactions linked to cartel proceeds provide the factual predicate for substitute asset seizure from correspondent accounts. Second, RRE data may strengthen the administrative record for Section 311 PMLC designations by documenting the money laundering end-point of precursor-linked financial flows, strengthening the nexus between designated financial institutions and the laundering of narcotics proceeds. Evidentiary value depends on the quality of cross-reference analysis and the ability to link specific transactions to designated entities or their beneficial owners.</w:t>
      </w:r>
    </w:p>
    <w:p>
      <w:pPr>
        <w:pStyle w:val="Heading1"/>
        <w:spacing w:after="200" w:before="360"/>
      </w:pPr>
      <w:r>
        <w:rPr>
          <w:rFonts w:ascii="Arial" w:cs="Arial" w:eastAsia="Arial" w:hAnsi="Arial"/>
          <w:b/>
          <w:bCs/>
          <w:color w:val="1B2A4A"/>
          <w:sz w:val="30"/>
          <w:szCs w:val="30"/>
        </w:rPr>
        <w:t xml:space="preserve">7. Strategic Sequencing</w:t>
      </w:r>
    </w:p>
    <w:p>
      <w:pPr>
        <w:spacing w:after="120" w:line="276"/>
      </w:pPr>
      <w:r>
        <w:rPr>
          <w:rFonts w:ascii="Arial" w:cs="Arial" w:eastAsia="Arial" w:hAnsi="Arial"/>
          <w:sz w:val="22"/>
          <w:szCs w:val="22"/>
        </w:rPr>
        <w:t xml:space="preserve">90-day assessment cycles, with each phase subject to interagency review and discretionary escalation decisions:</w:t>
      </w:r>
    </w:p>
    <w:p>
      <w:pPr>
        <w:pStyle w:val="ListParagraph"/>
        <w:numPr>
          <w:ilvl w:val="0"/>
          <w:numId w:val="15"/>
        </w:numPr>
        <w:spacing w:after="80" w:line="276"/>
      </w:pPr>
      <w:r>
        <w:rPr>
          <w:rFonts w:ascii="Arial" w:cs="Arial" w:eastAsia="Arial" w:hAnsi="Arial"/>
          <w:sz w:val="22"/>
          <w:szCs w:val="22"/>
        </w:rPr>
        <w:t xml:space="preserve">Intelligence synthesis: SAR aggregation, export license data, whistleblower submissions. Decision authority: FinCEN/DEA.</w:t>
      </w:r>
    </w:p>
    <w:p>
      <w:pPr>
        <w:pStyle w:val="ListParagraph"/>
        <w:numPr>
          <w:ilvl w:val="0"/>
          <w:numId w:val="15"/>
        </w:numPr>
        <w:spacing w:after="80" w:line="276"/>
      </w:pPr>
      <w:r>
        <w:rPr>
          <w:rFonts w:ascii="Arial" w:cs="Arial" w:eastAsia="Arial" w:hAnsi="Arial"/>
          <w:sz w:val="22"/>
          <w:szCs w:val="22"/>
        </w:rPr>
        <w:t xml:space="preserve">Notice distribution: formal notice delivery to identified suppliers. Decision authority: Treasury (FinCEN/OFAC), with DOJ consultation on prosecution-track notices.</w:t>
      </w:r>
    </w:p>
    <w:p>
      <w:pPr>
        <w:pStyle w:val="ListParagraph"/>
        <w:numPr>
          <w:ilvl w:val="0"/>
          <w:numId w:val="15"/>
        </w:numPr>
        <w:spacing w:after="80" w:line="276"/>
      </w:pPr>
      <w:r>
        <w:rPr>
          <w:rFonts w:ascii="Arial" w:cs="Arial" w:eastAsia="Arial" w:hAnsi="Arial"/>
          <w:sz w:val="22"/>
          <w:szCs w:val="22"/>
        </w:rPr>
        <w:t xml:space="preserve">Administrative record development: evidentiary basis for Section 311 proceedings. Decision authority: FinCEN Legal Division.</w:t>
      </w:r>
    </w:p>
    <w:p>
      <w:pPr>
        <w:pStyle w:val="ListParagraph"/>
        <w:numPr>
          <w:ilvl w:val="0"/>
          <w:numId w:val="15"/>
        </w:numPr>
        <w:spacing w:after="80" w:line="276"/>
      </w:pPr>
      <w:r>
        <w:rPr>
          <w:rFonts w:ascii="Arial" w:cs="Arial" w:eastAsia="Arial" w:hAnsi="Arial"/>
          <w:sz w:val="22"/>
          <w:szCs w:val="22"/>
        </w:rPr>
        <w:t xml:space="preserve">Coordinated enforcement: parallel designations and § 981(k) actions. Decision authority: Secretary of Treasury (designations); DOJ (forfeiture); interagency review for actions with foreign policy equities.</w:t>
      </w:r>
    </w:p>
    <w:p>
      <w:pPr>
        <w:pStyle w:val="ListParagraph"/>
        <w:numPr>
          <w:ilvl w:val="0"/>
          <w:numId w:val="15"/>
        </w:numPr>
        <w:spacing w:after="80" w:line="276"/>
      </w:pPr>
      <w:r>
        <w:rPr>
          <w:rFonts w:ascii="Arial" w:cs="Arial" w:eastAsia="Arial" w:hAnsi="Arial"/>
          <w:sz w:val="22"/>
          <w:szCs w:val="22"/>
        </w:rPr>
        <w:t xml:space="preserve">Effectiveness assessment: metrics evaluation and posture adjustment. Decision authority: interagency working group.</w:t>
      </w:r>
    </w:p>
    <w:p>
      <w:pPr>
        <w:pStyle w:val="Heading1"/>
        <w:spacing w:after="200" w:before="360"/>
      </w:pPr>
      <w:r>
        <w:rPr>
          <w:rFonts w:ascii="Arial" w:cs="Arial" w:eastAsia="Arial" w:hAnsi="Arial"/>
          <w:b/>
          <w:bCs/>
          <w:color w:val="1B2A4A"/>
          <w:sz w:val="30"/>
          <w:szCs w:val="30"/>
        </w:rPr>
        <w:t xml:space="preserve">8. Alternative Explanations and Defensive Counterarguments</w:t>
      </w:r>
    </w:p>
    <w:p>
      <w:pPr>
        <w:spacing w:after="120" w:line="276"/>
      </w:pPr>
      <w:r>
        <w:rPr>
          <w:rFonts w:ascii="Arial" w:cs="Arial" w:eastAsia="Arial" w:hAnsi="Arial"/>
          <w:sz w:val="22"/>
          <w:szCs w:val="22"/>
        </w:rPr>
        <w:t xml:space="preserve">A legally defensible enforcement framework must anticipate the strongest available defenses. The following counterarguments are assessed as the most likely to be raised in administrative proceedings, litigation, or diplomatic challenge:</w:t>
      </w:r>
    </w:p>
    <w:p>
      <w:pPr>
        <w:pStyle w:val="ListParagraph"/>
        <w:numPr>
          <w:ilvl w:val="0"/>
          <w:numId w:val="16"/>
        </w:numPr>
        <w:spacing w:after="80" w:line="276"/>
      </w:pPr>
      <w:r>
        <w:rPr>
          <w:rFonts w:ascii="Arial" w:cs="Arial" w:eastAsia="Arial" w:hAnsi="Arial"/>
          <w:sz w:val="22"/>
          <w:szCs w:val="22"/>
        </w:rPr>
        <w:t xml:space="preserve">Lawful dual-use commerce: PRC suppliers assert legitimate industrial applications for precursor chemicals and deny knowledge of end-user diversion. Strength: moderate—strongest absent formal notice delivery; weakened post-notice.</w:t>
      </w:r>
    </w:p>
    <w:p>
      <w:pPr>
        <w:pStyle w:val="ListParagraph"/>
        <w:numPr>
          <w:ilvl w:val="0"/>
          <w:numId w:val="16"/>
        </w:numPr>
        <w:spacing w:after="80" w:line="276"/>
      </w:pPr>
      <w:r>
        <w:rPr>
          <w:rFonts w:ascii="Arial" w:cs="Arial" w:eastAsia="Arial" w:hAnsi="Arial"/>
          <w:sz w:val="22"/>
          <w:szCs w:val="22"/>
        </w:rPr>
        <w:t xml:space="preserve">Lack of specific end-user awareness: defendants argue they sold to intermediaries, not directly to FTO entities, and had no actual knowledge of ultimate end-user identity. Strength: moderate—requires proof of knowledge beyond constructive notice.</w:t>
      </w:r>
    </w:p>
    <w:p>
      <w:pPr>
        <w:pStyle w:val="ListParagraph"/>
        <w:numPr>
          <w:ilvl w:val="0"/>
          <w:numId w:val="16"/>
        </w:numPr>
        <w:spacing w:after="80" w:line="276"/>
      </w:pPr>
      <w:r>
        <w:rPr>
          <w:rFonts w:ascii="Arial" w:cs="Arial" w:eastAsia="Arial" w:hAnsi="Arial"/>
          <w:sz w:val="22"/>
          <w:szCs w:val="22"/>
        </w:rPr>
        <w:t xml:space="preserve">Independent intermediary break: defendants argue the supply chain includes independent intermediaries that sever the causal chain between supplier and FTO end-user. Strength: variable—depends on supply chain documentation.</w:t>
      </w:r>
    </w:p>
    <w:p>
      <w:pPr>
        <w:pStyle w:val="ListParagraph"/>
        <w:numPr>
          <w:ilvl w:val="0"/>
          <w:numId w:val="16"/>
        </w:numPr>
        <w:spacing w:after="80" w:line="276"/>
      </w:pPr>
      <w:r>
        <w:rPr>
          <w:rFonts w:ascii="Arial" w:cs="Arial" w:eastAsia="Arial" w:hAnsi="Arial"/>
          <w:sz w:val="22"/>
          <w:szCs w:val="22"/>
        </w:rPr>
        <w:t xml:space="preserve">Insufficient attribution confidence: defendants challenge blockchain analytics and trade flow analysis as insufficiently reliable for criminal charging. Strength: moderate—Daubert challenge on methodology.</w:t>
      </w:r>
    </w:p>
    <w:p>
      <w:pPr>
        <w:pStyle w:val="ListParagraph"/>
        <w:numPr>
          <w:ilvl w:val="0"/>
          <w:numId w:val="16"/>
        </w:numPr>
        <w:spacing w:after="80" w:line="276"/>
      </w:pPr>
      <w:r>
        <w:rPr>
          <w:rFonts w:ascii="Arial" w:cs="Arial" w:eastAsia="Arial" w:hAnsi="Arial"/>
          <w:sz w:val="22"/>
          <w:szCs w:val="22"/>
        </w:rPr>
        <w:t xml:space="preserve">Compliance burden disproportionality: foreign banks argue that Section 311 special measures impose disproportionate compliance costs on lawful commerce. Strength: moderate for broad class designations; weaker for targeted institution-specific actions.</w:t>
      </w:r>
    </w:p>
    <w:p>
      <w:pPr>
        <w:pStyle w:val="ListParagraph"/>
        <w:numPr>
          <w:ilvl w:val="0"/>
          <w:numId w:val="16"/>
        </w:numPr>
        <w:spacing w:after="80" w:line="276"/>
      </w:pPr>
      <w:r>
        <w:rPr>
          <w:rFonts w:ascii="Arial" w:cs="Arial" w:eastAsia="Arial" w:hAnsi="Arial"/>
          <w:sz w:val="22"/>
          <w:szCs w:val="22"/>
        </w:rPr>
        <w:t xml:space="preserve">Protected remittance / humanitarian impact: NGOs and humanitarian organizations argue that enforcement actions impede lawful humanitarian transactions. Strength: significant—requires robust humanitarian carve-out design (see Section 9).</w:t>
      </w:r>
    </w:p>
    <w:p>
      <w:pPr>
        <w:pStyle w:val="ListParagraph"/>
        <w:numPr>
          <w:ilvl w:val="0"/>
          <w:numId w:val="16"/>
        </w:numPr>
        <w:spacing w:after="80" w:line="276"/>
      </w:pPr>
      <w:r>
        <w:rPr>
          <w:rFonts w:ascii="Arial" w:cs="Arial" w:eastAsia="Arial" w:hAnsi="Arial"/>
          <w:sz w:val="22"/>
          <w:szCs w:val="22"/>
        </w:rPr>
        <w:t xml:space="preserve">Foreign sovereign retaliation / impossibility: PRC government asserts that compliance with U.S. enforcement actions would violate PRC law (state secrecy, anti-sanctions legislation). Strength: significant for PRC state-enterprise defendants.</w:t>
      </w:r>
    </w:p>
    <w:p>
      <w:pPr>
        <w:pStyle w:val="Heading1"/>
        <w:spacing w:after="200" w:before="360"/>
      </w:pPr>
      <w:r>
        <w:rPr>
          <w:rFonts w:ascii="Arial" w:cs="Arial" w:eastAsia="Arial" w:hAnsi="Arial"/>
          <w:b/>
          <w:bCs/>
          <w:color w:val="1B2A4A"/>
          <w:sz w:val="30"/>
          <w:szCs w:val="30"/>
        </w:rPr>
        <w:t xml:space="preserve">9. Humanitarian Safeguards</w:t>
      </w:r>
    </w:p>
    <w:p>
      <w:pPr>
        <w:spacing w:after="120" w:line="276"/>
      </w:pPr>
      <w:r>
        <w:rPr>
          <w:rFonts w:ascii="Arial" w:cs="Arial" w:eastAsia="Arial" w:hAnsi="Arial"/>
          <w:sz w:val="22"/>
          <w:szCs w:val="22"/>
        </w:rPr>
        <w:t xml:space="preserve">OFAC General License framework maintained: safe harbor provisions, expedited review (target: 95% approval within 30 days), clear demarcation between permissible humanitarian aid and prohibited dual-use items [Tier 1 — OFAC GL precedent]. Humanitarian impact screening is a mandatory pre-action requirement for every Section 311 designation and § 981(k) action.</w:t>
      </w:r>
    </w:p>
    <w:p>
      <w:pPr>
        <w:pStyle w:val="Heading1"/>
        <w:spacing w:after="200" w:before="360"/>
      </w:pPr>
      <w:r>
        <w:rPr>
          <w:rFonts w:ascii="Arial" w:cs="Arial" w:eastAsia="Arial" w:hAnsi="Arial"/>
          <w:b/>
          <w:bCs/>
          <w:color w:val="1B2A4A"/>
          <w:sz w:val="30"/>
          <w:szCs w:val="30"/>
        </w:rPr>
        <w:t xml:space="preserve">10. Key Unknowns</w:t>
      </w:r>
    </w:p>
    <w:p>
      <w:pPr>
        <w:pStyle w:val="ListParagraph"/>
        <w:numPr>
          <w:ilvl w:val="0"/>
          <w:numId w:val="17"/>
        </w:numPr>
        <w:spacing w:after="80" w:line="276"/>
      </w:pPr>
      <w:r>
        <w:rPr>
          <w:rFonts w:ascii="Arial" w:cs="Arial" w:eastAsia="Arial" w:hAnsi="Arial"/>
          <w:sz w:val="22"/>
          <w:szCs w:val="22"/>
        </w:rPr>
        <w:t xml:space="preserve">PRC state tolerance threshold: degree of cooperation, resistance, or active obstruction.</w:t>
      </w:r>
    </w:p>
    <w:p>
      <w:pPr>
        <w:pStyle w:val="ListParagraph"/>
        <w:numPr>
          <w:ilvl w:val="0"/>
          <w:numId w:val="17"/>
        </w:numPr>
        <w:spacing w:after="80" w:line="276"/>
      </w:pPr>
      <w:r>
        <w:rPr>
          <w:rFonts w:ascii="Arial" w:cs="Arial" w:eastAsia="Arial" w:hAnsi="Arial"/>
          <w:sz w:val="22"/>
          <w:szCs w:val="22"/>
        </w:rPr>
        <w:t xml:space="preserve">Precursor substitution elasticity: speed of novel analog development.</w:t>
      </w:r>
    </w:p>
    <w:p>
      <w:pPr>
        <w:pStyle w:val="ListParagraph"/>
        <w:numPr>
          <w:ilvl w:val="0"/>
          <w:numId w:val="17"/>
        </w:numPr>
        <w:spacing w:after="80" w:line="276"/>
      </w:pPr>
      <w:r>
        <w:rPr>
          <w:rFonts w:ascii="Arial" w:cs="Arial" w:eastAsia="Arial" w:hAnsi="Arial"/>
          <w:sz w:val="22"/>
          <w:szCs w:val="22"/>
        </w:rPr>
        <w:t xml:space="preserve">Cartel financial adaptation speed: shift to non-bank settlement.</w:t>
      </w:r>
    </w:p>
    <w:p>
      <w:pPr>
        <w:pStyle w:val="ListParagraph"/>
        <w:numPr>
          <w:ilvl w:val="0"/>
          <w:numId w:val="17"/>
        </w:numPr>
        <w:spacing w:after="80" w:line="276"/>
      </w:pPr>
      <w:r>
        <w:rPr>
          <w:rFonts w:ascii="Arial" w:cs="Arial" w:eastAsia="Arial" w:hAnsi="Arial"/>
          <w:sz w:val="22"/>
          <w:szCs w:val="22"/>
        </w:rPr>
        <w:t xml:space="preserve">Whistleblower effectiveness in PRC context: no direct precedent.</w:t>
      </w:r>
    </w:p>
    <w:p>
      <w:pPr>
        <w:pStyle w:val="ListParagraph"/>
        <w:numPr>
          <w:ilvl w:val="0"/>
          <w:numId w:val="17"/>
        </w:numPr>
        <w:spacing w:after="80" w:line="276"/>
      </w:pPr>
      <w:r>
        <w:rPr>
          <w:rFonts w:ascii="Arial" w:cs="Arial" w:eastAsia="Arial" w:hAnsi="Arial"/>
          <w:sz w:val="22"/>
          <w:szCs w:val="22"/>
        </w:rPr>
        <w:t xml:space="preserve">Judicial durability of class-based hawala/transaction designations under § 5318A(a)(4)(A).</w:t>
      </w:r>
    </w:p>
    <w:p>
      <w:pPr>
        <w:pStyle w:val="Heading1"/>
        <w:spacing w:after="200" w:before="360"/>
      </w:pPr>
      <w:r>
        <w:rPr>
          <w:rFonts w:ascii="Arial" w:cs="Arial" w:eastAsia="Arial" w:hAnsi="Arial"/>
          <w:b/>
          <w:bCs/>
          <w:color w:val="1B2A4A"/>
          <w:sz w:val="30"/>
          <w:szCs w:val="30"/>
        </w:rPr>
        <w:t xml:space="preserve">11. Adversary Adaptation Model</w:t>
      </w:r>
    </w:p>
    <w:p>
      <w:pPr>
        <w:pStyle w:val="ListParagraph"/>
        <w:numPr>
          <w:ilvl w:val="0"/>
          <w:numId w:val="18"/>
        </w:numPr>
        <w:spacing w:after="80" w:line="276"/>
      </w:pPr>
      <w:r>
        <w:rPr>
          <w:rFonts w:ascii="Arial" w:cs="Arial" w:eastAsia="Arial" w:hAnsi="Arial"/>
          <w:sz w:val="22"/>
          <w:szCs w:val="22"/>
        </w:rPr>
        <w:t xml:space="preserve">Precursor analog evolution: PRC manufacturers likely to develop modified precursors within 6–18 months [Moderate Confidence — Tier 2].</w:t>
      </w:r>
    </w:p>
    <w:p>
      <w:pPr>
        <w:pStyle w:val="ListParagraph"/>
        <w:numPr>
          <w:ilvl w:val="0"/>
          <w:numId w:val="18"/>
        </w:numPr>
        <w:spacing w:after="80" w:line="276"/>
      </w:pPr>
      <w:r>
        <w:rPr>
          <w:rFonts w:ascii="Arial" w:cs="Arial" w:eastAsia="Arial" w:hAnsi="Arial"/>
          <w:sz w:val="22"/>
          <w:szCs w:val="22"/>
        </w:rPr>
        <w:t xml:space="preserve">Geographic substitution: partial migration to India, Vietnam, other jurisdictions.</w:t>
      </w:r>
    </w:p>
    <w:p>
      <w:pPr>
        <w:pStyle w:val="ListParagraph"/>
        <w:numPr>
          <w:ilvl w:val="0"/>
          <w:numId w:val="18"/>
        </w:numPr>
        <w:spacing w:after="80" w:line="276"/>
      </w:pPr>
      <w:r>
        <w:rPr>
          <w:rFonts w:ascii="Arial" w:cs="Arial" w:eastAsia="Arial" w:hAnsi="Arial"/>
          <w:sz w:val="22"/>
          <w:szCs w:val="22"/>
        </w:rPr>
        <w:t xml:space="preserve">Cryptocurrency pivot: increased DeFi/privacy coin utilization for procurement settlement.</w:t>
      </w:r>
    </w:p>
    <w:p>
      <w:pPr>
        <w:pStyle w:val="ListParagraph"/>
        <w:numPr>
          <w:ilvl w:val="0"/>
          <w:numId w:val="18"/>
        </w:numPr>
        <w:spacing w:after="80" w:line="276"/>
      </w:pPr>
      <w:r>
        <w:rPr>
          <w:rFonts w:ascii="Arial" w:cs="Arial" w:eastAsia="Arial" w:hAnsi="Arial"/>
          <w:sz w:val="22"/>
          <w:szCs w:val="22"/>
        </w:rPr>
        <w:t xml:space="preserve">Trade-based laundering: invoice manipulation for value transfer.</w:t>
      </w:r>
    </w:p>
    <w:p>
      <w:pPr>
        <w:pStyle w:val="ListParagraph"/>
        <w:numPr>
          <w:ilvl w:val="0"/>
          <w:numId w:val="18"/>
        </w:numPr>
        <w:spacing w:after="80" w:line="276"/>
      </w:pPr>
      <w:r>
        <w:rPr>
          <w:rFonts w:ascii="Arial" w:cs="Arial" w:eastAsia="Arial" w:hAnsi="Arial"/>
          <w:sz w:val="22"/>
          <w:szCs w:val="22"/>
        </w:rPr>
        <w:t xml:space="preserve">Decentralized procurement nodes: redundant channels offsetting individual node disruption.</w:t>
      </w:r>
    </w:p>
    <w:p>
      <w:pPr>
        <w:pStyle w:val="Heading1"/>
        <w:spacing w:after="200" w:before="360"/>
      </w:pPr>
      <w:r>
        <w:rPr>
          <w:rFonts w:ascii="Arial" w:cs="Arial" w:eastAsia="Arial" w:hAnsi="Arial"/>
          <w:b/>
          <w:bCs/>
          <w:color w:val="1B2A4A"/>
          <w:sz w:val="30"/>
          <w:szCs w:val="30"/>
        </w:rPr>
        <w:t xml:space="preserve">12.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Best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Base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Worst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degradation (36 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50–70%: Full execution, PRC passive non-cooperation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30–50%: Partial execution, moderate adaptation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15–25%: Enforcement gaps, active PRC counter-enforcement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Asset forfeiture (36 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$4.3–$6.7B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$1.5–$3B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$500M–$1B</w:t>
            </w:r>
          </w:p>
        </w:tc>
      </w:tr>
    </w:tbl>
    <w:p>
      <w:pPr>
        <w:spacing w:after="200" w:before="60"/>
      </w:pPr>
      <w:r>
        <w:rPr>
          <w:rFonts w:ascii="Arial" w:cs="Arial" w:eastAsia="Arial" w:hAnsi="Arial"/>
          <w:i/>
          <w:iCs/>
          <w:color w:val="4A5568"/>
          <w:sz w:val="18"/>
          <w:szCs w:val="18"/>
        </w:rPr>
        <w:t xml:space="preserve">Table 2: Sensitivity Analysis. Projections are scenario-based extrapolations, not outputs of a validated quantitative model.</w:t>
      </w:r>
    </w:p>
    <w:p>
      <w:pPr>
        <w:pStyle w:val="Heading1"/>
        <w:spacing w:after="200" w:before="360"/>
      </w:pPr>
      <w:r>
        <w:rPr>
          <w:rFonts w:ascii="Arial" w:cs="Arial" w:eastAsia="Arial" w:hAnsi="Arial"/>
          <w:b/>
          <w:bCs/>
          <w:color w:val="1B2A4A"/>
          <w:sz w:val="30"/>
          <w:szCs w:val="30"/>
        </w:rPr>
        <w:t xml:space="preserve">13. Effectiveness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 (Base Case)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SAR volume increase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&gt;30% within 180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Whistleblower tip volume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&gt;50% increase within 1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degradation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30–60% within 2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Humanitarian approval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&gt;95% within 30 days</w:t>
            </w:r>
          </w:p>
        </w:tc>
      </w:tr>
    </w:tbl>
    <w:p>
      <w:pPr>
        <w:spacing w:after="200" w:before="60"/>
      </w:pPr>
      <w:r>
        <w:rPr>
          <w:rFonts w:ascii="Arial" w:cs="Arial" w:eastAsia="Arial" w:hAnsi="Arial"/>
          <w:i/>
          <w:iCs/>
          <w:color w:val="4A5568"/>
          <w:sz w:val="18"/>
          <w:szCs w:val="18"/>
        </w:rPr>
        <w:t xml:space="preserve">Table 3: Effectiveness Metrics and Targets.</w:t>
      </w:r>
    </w:p>
    <w:p>
      <w:pPr>
        <w:pStyle w:val="Heading1"/>
        <w:spacing w:after="200" w:before="360"/>
      </w:pPr>
      <w:r>
        <w:rPr>
          <w:rFonts w:ascii="Arial" w:cs="Arial" w:eastAsia="Arial" w:hAnsi="Arial"/>
          <w:b/>
          <w:bCs/>
          <w:color w:val="1B2A4A"/>
          <w:sz w:val="30"/>
          <w:szCs w:val="30"/>
        </w:rPr>
        <w:t xml:space="preserve">14. Implementation Costs</w:t>
      </w:r>
    </w:p>
    <w:p>
      <w:pPr>
        <w:pStyle w:val="ListParagraph"/>
        <w:numPr>
          <w:ilvl w:val="0"/>
          <w:numId w:val="19"/>
        </w:numPr>
        <w:spacing w:after="80" w:line="276"/>
      </w:pPr>
      <w:r>
        <w:rPr>
          <w:rFonts w:ascii="Arial" w:cs="Arial" w:eastAsia="Arial" w:hAnsi="Arial"/>
          <w:sz w:val="22"/>
          <w:szCs w:val="22"/>
        </w:rPr>
        <w:t xml:space="preserve">FinCEN: 8 analysts, $1.2M annually [Tier 2 — GS-13/14 estimates]</w:t>
      </w:r>
    </w:p>
    <w:p>
      <w:pPr>
        <w:pStyle w:val="ListParagraph"/>
        <w:numPr>
          <w:ilvl w:val="0"/>
          <w:numId w:val="19"/>
        </w:numPr>
        <w:spacing w:after="80" w:line="276"/>
      </w:pPr>
      <w:r>
        <w:rPr>
          <w:rFonts w:ascii="Arial" w:cs="Arial" w:eastAsia="Arial" w:hAnsi="Arial"/>
          <w:sz w:val="22"/>
          <w:szCs w:val="22"/>
        </w:rPr>
        <w:t xml:space="preserve">OFAC: 5 economists, $800K annually</w:t>
      </w:r>
    </w:p>
    <w:p>
      <w:pPr>
        <w:pStyle w:val="ListParagraph"/>
        <w:numPr>
          <w:ilvl w:val="0"/>
          <w:numId w:val="19"/>
        </w:numPr>
        <w:spacing w:after="80" w:line="276"/>
      </w:pPr>
      <w:r>
        <w:rPr>
          <w:rFonts w:ascii="Arial" w:cs="Arial" w:eastAsia="Arial" w:hAnsi="Arial"/>
          <w:sz w:val="22"/>
          <w:szCs w:val="22"/>
        </w:rPr>
        <w:t xml:space="preserve">DOJ/AFMLS: 4 prosecutors, $600K annually</w:t>
      </w:r>
    </w:p>
    <w:p>
      <w:pPr>
        <w:pStyle w:val="ListParagraph"/>
        <w:numPr>
          <w:ilvl w:val="0"/>
          <w:numId w:val="19"/>
        </w:numPr>
        <w:spacing w:after="80" w:line="276"/>
      </w:pPr>
      <w:r>
        <w:rPr>
          <w:rFonts w:ascii="Arial" w:cs="Arial" w:eastAsia="Arial" w:hAnsi="Arial"/>
          <w:sz w:val="22"/>
          <w:szCs w:val="22"/>
        </w:rPr>
        <w:t xml:space="preserve">DEA: 6 analysts, $900K annually</w:t>
      </w:r>
    </w:p>
    <w:p>
      <w:pPr>
        <w:pStyle w:val="ListParagraph"/>
        <w:numPr>
          <w:ilvl w:val="0"/>
          <w:numId w:val="19"/>
        </w:numPr>
        <w:spacing w:after="80" w:line="276"/>
      </w:pPr>
      <w:r>
        <w:rPr>
          <w:rFonts w:ascii="Arial" w:cs="Arial" w:eastAsia="Arial" w:hAnsi="Arial"/>
          <w:sz w:val="22"/>
          <w:szCs w:val="22"/>
        </w:rPr>
        <w:t xml:space="preserve">Technology: $2.8M one-time + $900K annual</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COST ESTIMATE SCOPE: </w:t>
      </w:r>
      <w:r>
        <w:rPr>
          <w:rFonts w:ascii="Arial" w:cs="Arial" w:eastAsia="Arial" w:hAnsi="Arial"/>
          <w:sz w:val="20"/>
          <w:szCs w:val="20"/>
        </w:rPr>
        <w:t xml:space="preserve">Estimates reflect direct staffing costs (GS-13/14 equivalents) only. Full program costs including overhead, interagency coordination infrastructure, litigation support, contractor services, and classified system access are not estimated and would be substantially higher. These figures are illustrative for scoping purposes, not suitable for budget justification.</w:t>
      </w:r>
    </w:p>
    <w:p>
      <w:pPr>
        <w:spacing w:after="120" w:line="276"/>
      </w:pPr>
      <w:r>
        <w:rPr>
          <w:rFonts w:ascii="Arial" w:cs="Arial" w:eastAsia="Arial" w:hAnsi="Arial"/>
          <w:sz w:val="22"/>
          <w:szCs w:val="22"/>
        </w:rPr>
        <w:t xml:space="preserve">Total: $18.7M over 36 months. Forfeiture returns substantially exceed costs at base-case projections.</w:t>
      </w:r>
    </w:p>
    <w:p>
      <w:pPr>
        <w:pStyle w:val="Heading1"/>
        <w:spacing w:after="200" w:before="360"/>
      </w:pPr>
      <w:r>
        <w:rPr>
          <w:rFonts w:ascii="Arial" w:cs="Arial" w:eastAsia="Arial" w:hAnsi="Arial"/>
          <w:b/>
          <w:bCs/>
          <w:color w:val="1B2A4A"/>
          <w:sz w:val="30"/>
          <w:szCs w:val="30"/>
        </w:rPr>
        <w:t xml:space="preserve">15. Limitations of the Public Record</w:t>
      </w:r>
    </w:p>
    <w:p>
      <w:pPr>
        <w:pStyle w:val="ListParagraph"/>
        <w:numPr>
          <w:ilvl w:val="0"/>
          <w:numId w:val="20"/>
        </w:numPr>
        <w:spacing w:after="80" w:line="276"/>
      </w:pPr>
      <w:r>
        <w:rPr>
          <w:rFonts w:ascii="Arial" w:cs="Arial" w:eastAsia="Arial" w:hAnsi="Arial"/>
          <w:sz w:val="22"/>
          <w:szCs w:val="22"/>
        </w:rPr>
        <w:t xml:space="preserve">Cartel financial architecture: internal flows and reconstitution timelines not established.</w:t>
      </w:r>
    </w:p>
    <w:p>
      <w:pPr>
        <w:pStyle w:val="ListParagraph"/>
        <w:numPr>
          <w:ilvl w:val="0"/>
          <w:numId w:val="20"/>
        </w:numPr>
        <w:spacing w:after="80" w:line="276"/>
      </w:pPr>
      <w:r>
        <w:rPr>
          <w:rFonts w:ascii="Arial" w:cs="Arial" w:eastAsia="Arial" w:hAnsi="Arial"/>
          <w:sz w:val="22"/>
          <w:szCs w:val="22"/>
        </w:rPr>
        <w:t xml:space="preserve">PRC enforcement cooperation: retaliation thresholds not characterized.</w:t>
      </w:r>
    </w:p>
    <w:p>
      <w:pPr>
        <w:pStyle w:val="ListParagraph"/>
        <w:numPr>
          <w:ilvl w:val="0"/>
          <w:numId w:val="20"/>
        </w:numPr>
        <w:spacing w:after="80" w:line="276"/>
      </w:pPr>
      <w:r>
        <w:rPr>
          <w:rFonts w:ascii="Arial" w:cs="Arial" w:eastAsia="Arial" w:hAnsi="Arial"/>
          <w:sz w:val="22"/>
          <w:szCs w:val="22"/>
        </w:rPr>
        <w:t xml:space="preserve">Precursor analog timelines: no systematic public database.</w:t>
      </w:r>
    </w:p>
    <w:p>
      <w:pPr>
        <w:pStyle w:val="ListParagraph"/>
        <w:numPr>
          <w:ilvl w:val="0"/>
          <w:numId w:val="20"/>
        </w:numPr>
        <w:spacing w:after="80" w:line="276"/>
      </w:pPr>
      <w:r>
        <w:rPr>
          <w:rFonts w:ascii="Arial" w:cs="Arial" w:eastAsia="Arial" w:hAnsi="Arial"/>
          <w:sz w:val="22"/>
          <w:szCs w:val="22"/>
        </w:rPr>
        <w:t xml:space="preserve">Whistleblower cross-cultural effectiveness: analytically inferred from non-analogous contexts.</w:t>
      </w:r>
    </w:p>
    <w:p>
      <w:pPr>
        <w:pStyle w:val="ListParagraph"/>
        <w:numPr>
          <w:ilvl w:val="0"/>
          <w:numId w:val="20"/>
        </w:numPr>
        <w:spacing w:after="80" w:line="276"/>
      </w:pPr>
      <w:r>
        <w:rPr>
          <w:rFonts w:ascii="Arial" w:cs="Arial" w:eastAsia="Arial" w:hAnsi="Arial"/>
          <w:sz w:val="22"/>
          <w:szCs w:val="22"/>
        </w:rPr>
        <w:t xml:space="preserve">Market substitution: whether supply disruption reduces mortality or drives analog substitution.</w:t>
      </w:r>
    </w:p>
    <w:p>
      <w:pPr>
        <w:pStyle w:val="Heading1"/>
        <w:spacing w:after="200" w:before="360"/>
      </w:pPr>
      <w:r>
        <w:rPr>
          <w:rFonts w:ascii="Arial" w:cs="Arial" w:eastAsia="Arial" w:hAnsi="Arial"/>
          <w:b/>
          <w:bCs/>
          <w:color w:val="1B2A4A"/>
          <w:sz w:val="30"/>
          <w:szCs w:val="30"/>
        </w:rPr>
        <w:t xml:space="preserve">16. Scope Limitations and Explicit Non-Claims</w:t>
      </w:r>
    </w:p>
    <w:p>
      <w:pPr>
        <w:numPr>
          <w:ilvl w:val="0"/>
          <w:numId w:val="1"/>
        </w:numPr>
        <w:spacing w:after="80" w:line="276"/>
      </w:pPr>
      <w:r>
        <w:rPr>
          <w:rFonts w:ascii="Arial" w:cs="Arial" w:eastAsia="Arial" w:hAnsi="Arial"/>
          <w:sz w:val="22"/>
          <w:szCs w:val="22"/>
        </w:rPr>
        <w:t xml:space="preserve">No classified sources or non-public government information used.</w:t>
      </w:r>
    </w:p>
    <w:p>
      <w:pPr>
        <w:numPr>
          <w:ilvl w:val="0"/>
          <w:numId w:val="1"/>
        </w:numPr>
        <w:spacing w:after="80" w:line="276"/>
      </w:pPr>
      <w:r>
        <w:rPr>
          <w:rFonts w:ascii="Arial" w:cs="Arial" w:eastAsia="Arial" w:hAnsi="Arial"/>
          <w:sz w:val="22"/>
          <w:szCs w:val="22"/>
        </w:rPr>
        <w:t xml:space="preserve">No access to actual SAR data; SAR references are to publicly reported aggregates.</w:t>
      </w:r>
    </w:p>
    <w:p>
      <w:pPr>
        <w:numPr>
          <w:ilvl w:val="0"/>
          <w:numId w:val="1"/>
        </w:numPr>
        <w:spacing w:after="80" w:line="276"/>
      </w:pPr>
      <w:r>
        <w:rPr>
          <w:rFonts w:ascii="Arial" w:cs="Arial" w:eastAsia="Arial" w:hAnsi="Arial"/>
          <w:sz w:val="22"/>
          <w:szCs w:val="22"/>
        </w:rPr>
        <w:t xml:space="preserve">Scenario-based estimates are not predictive models.</w:t>
      </w:r>
    </w:p>
    <w:p>
      <w:pPr>
        <w:numPr>
          <w:ilvl w:val="0"/>
          <w:numId w:val="1"/>
        </w:numPr>
        <w:spacing w:after="80" w:line="276"/>
      </w:pPr>
      <w:r>
        <w:rPr>
          <w:rFonts w:ascii="Arial" w:cs="Arial" w:eastAsia="Arial" w:hAnsi="Arial"/>
          <w:sz w:val="22"/>
          <w:szCs w:val="22"/>
        </w:rPr>
        <w:t xml:space="preserve">No humanitarian impact assessment conducted; proportionality analysis is identified as a record requirement but not performed.</w:t>
      </w:r>
    </w:p>
    <w:p>
      <w:pPr>
        <w:numPr>
          <w:ilvl w:val="0"/>
          <w:numId w:val="1"/>
        </w:numPr>
        <w:spacing w:after="80" w:line="276"/>
      </w:pPr>
      <w:r>
        <w:rPr>
          <w:rFonts w:ascii="Arial" w:cs="Arial" w:eastAsia="Arial" w:hAnsi="Arial"/>
          <w:sz w:val="22"/>
          <w:szCs w:val="22"/>
        </w:rPr>
        <w:t xml:space="preserve">No field-validated intelligence on cartel financial network topology or PRC precursor supply chain structure.</w:t>
      </w:r>
    </w:p>
    <w:p>
      <w:pPr>
        <w:numPr>
          <w:ilvl w:val="0"/>
          <w:numId w:val="1"/>
        </w:numPr>
        <w:spacing w:after="80" w:line="276"/>
      </w:pPr>
      <w:r>
        <w:rPr>
          <w:rFonts w:ascii="Arial" w:cs="Arial" w:eastAsia="Arial" w:hAnsi="Arial"/>
          <w:sz w:val="22"/>
          <w:szCs w:val="22"/>
        </w:rPr>
        <w:t xml:space="preserve">Cost estimates are illustrative staffing-only figures, not program-level budget estimates.</w:t>
      </w:r>
    </w:p>
    <w:p>
      <w:pPr>
        <w:numPr>
          <w:ilvl w:val="0"/>
          <w:numId w:val="1"/>
        </w:numPr>
        <w:spacing w:after="80" w:line="276"/>
      </w:pPr>
      <w:r>
        <w:rPr>
          <w:rFonts w:ascii="Arial" w:cs="Arial" w:eastAsia="Arial" w:hAnsi="Arial"/>
          <w:sz w:val="22"/>
          <w:szCs w:val="22"/>
        </w:rPr>
        <w:t xml:space="preserve">Effectiveness metrics are proposed targets, not empirically derived benchmarks.</w:t>
      </w:r>
    </w:p>
    <w:p>
      <w:pPr>
        <w:numPr>
          <w:ilvl w:val="0"/>
          <w:numId w:val="1"/>
        </w:numPr>
        <w:spacing w:after="80" w:line="276"/>
      </w:pPr>
      <w:r>
        <w:rPr>
          <w:rFonts w:ascii="Arial" w:cs="Arial" w:eastAsia="Arial" w:hAnsi="Arial"/>
          <w:sz w:val="22"/>
          <w:szCs w:val="22"/>
        </w:rPr>
        <w:t xml:space="preserve">PRC enforcement cooperation thresholds and cartel adaptation timelines are not established in available reporting.</w:t>
      </w:r>
    </w:p>
    <w:p>
      <w:pPr>
        <w:numPr>
          <w:ilvl w:val="0"/>
          <w:numId w:val="1"/>
        </w:numPr>
        <w:spacing w:after="80" w:line="276"/>
      </w:pPr>
      <w:r>
        <w:rPr>
          <w:rFonts w:ascii="Arial" w:cs="Arial" w:eastAsia="Arial" w:hAnsi="Arial"/>
          <w:sz w:val="22"/>
          <w:szCs w:val="22"/>
        </w:rPr>
        <w:t xml:space="preserve">This document does not constitute legal advice, an enforcement recommendation, or the views of any government entity.</w:t>
      </w:r>
    </w:p>
    <w:p>
      <w:pPr>
        <w:numPr>
          <w:ilvl w:val="0"/>
          <w:numId w:val="1"/>
        </w:numPr>
        <w:spacing w:after="80" w:line="276"/>
      </w:pPr>
      <w:r>
        <w:rPr>
          <w:rFonts w:ascii="Arial" w:cs="Arial" w:eastAsia="Arial" w:hAnsi="Arial"/>
          <w:sz w:val="22"/>
          <w:szCs w:val="22"/>
        </w:rPr>
        <w:t xml:space="preserve">Individual enforcement actions require case-specific record development, interagency consultation, and executive authorization.</w:t>
      </w:r>
    </w:p>
    <w:p>
      <w:pPr>
        <w:pStyle w:val="Heading1"/>
        <w:spacing w:after="200" w:before="360"/>
      </w:pPr>
      <w:r>
        <w:rPr>
          <w:rFonts w:ascii="Arial" w:cs="Arial" w:eastAsia="Arial" w:hAnsi="Arial"/>
          <w:b/>
          <w:bCs/>
          <w:color w:val="1B2A4A"/>
          <w:sz w:val="30"/>
          <w:szCs w:val="30"/>
        </w:rPr>
        <w:t xml:space="preserve">17. Conclusion</w:t>
      </w:r>
    </w:p>
    <w:p>
      <w:pPr>
        <w:spacing w:after="120" w:line="276"/>
      </w:pPr>
      <w:r>
        <w:rPr>
          <w:rFonts w:ascii="Arial" w:cs="Arial" w:eastAsia="Arial" w:hAnsi="Arial"/>
          <w:sz w:val="22"/>
          <w:szCs w:val="22"/>
        </w:rPr>
        <w:t xml:space="preserve">This framework identifies legally supportable enforcement actions, the threshold showings required for each, the evidentiary basis presently available, and the principal litigation risks. The core analytical contribution is the recognition that February 2025 FTO designations created § 2339B exposure for precursor suppliers that enhanced notice procedures could strengthen on a case-by-case basis, subject to proof of knowledge, nexus, and admissible evidence.</w:t>
      </w:r>
    </w:p>
    <w:p>
      <w:pPr>
        <w:spacing w:after="120" w:line="276"/>
      </w:pPr>
      <w:r>
        <w:rPr>
          <w:rFonts w:ascii="Arial" w:cs="Arial" w:eastAsia="Arial" w:hAnsi="Arial"/>
          <w:sz w:val="22"/>
          <w:szCs w:val="22"/>
        </w:rPr>
        <w:t xml:space="preserve">This paper does not recommend specific enforcement actions. Individual actions require case-specific record development, interagency legal consultation, humanitarian impact screening, and executive authorization at appropriate decision thresholds.</w:t>
      </w:r>
    </w:p>
    <w:p>
      <w:pPr>
        <w:spacing w:after="120" w:line="276"/>
      </w:pPr>
      <w:r>
        <w:rPr>
          <w:rFonts w:ascii="Arial" w:cs="Arial" w:eastAsia="Arial" w:hAnsi="Arial"/>
          <w:sz w:val="22"/>
          <w:szCs w:val="22"/>
        </w:rPr>
        <w:t xml:space="preserve"/>
      </w:r>
    </w:p>
    <w:p>
      <w:pPr>
        <w:spacing w:after="120" w:line="276"/>
        <w:jc w:val="center"/>
        <w:rPr>
          <w:b/>
          <w:bCs/>
          <w:color w:val="1B2A4A"/>
          <w:sz w:val="20"/>
          <w:szCs w:val="20"/>
        </w:rPr>
      </w:pPr>
      <w:r>
        <w:rPr>
          <w:rFonts w:ascii="Arial" w:cs="Arial" w:eastAsia="Arial" w:hAnsi="Arial"/>
          <w:b/>
          <w:bCs/>
          <w:color w:val="1B2A4A"/>
          <w:sz w:val="20"/>
          <w:szCs w:val="20"/>
        </w:rPr>
        <w:t xml:space="preserve">END OF DOCUMENT — WP-2026-ARCH-03 — APRIL 2026 — UNCLASSIFIED // OPEN SOURCE</w:t>
      </w:r>
    </w:p>
    <w:p>
      <w:pPr>
        <w:pStyle w:val="Heading1"/>
        <w:spacing w:after="200" w:before="360"/>
      </w:pPr>
      <w:r>
        <w:rPr>
          <w:rFonts w:ascii="Arial" w:cs="Arial" w:eastAsia="Arial" w:hAnsi="Arial"/>
          <w:b/>
          <w:bCs/>
          <w:color w:val="1B2A4A"/>
          <w:sz w:val="30"/>
          <w:szCs w:val="30"/>
        </w:rPr>
        <w:t xml:space="preserve">18. Series Position and Cross-References</w:t>
      </w:r>
    </w:p>
    <w:p>
      <w:pPr>
        <w:spacing w:after="120" w:line="276"/>
      </w:pPr>
      <w:r>
        <w:rPr>
          <w:rFonts w:ascii="Arial" w:cs="Arial" w:eastAsia="Arial" w:hAnsi="Arial"/>
          <w:b/>
          <w:bCs/>
          <w:sz w:val="22"/>
          <w:szCs w:val="22"/>
        </w:rPr>
        <w:t xml:space="preserve">Series designation: </w:t>
      </w:r>
      <w:r>
        <w:rPr>
          <w:rFonts w:ascii="Arial" w:cs="Arial" w:eastAsia="Arial" w:hAnsi="Arial"/>
          <w:sz w:val="22"/>
          <w:szCs w:val="22"/>
        </w:rPr>
        <w:t xml:space="preserve">WP-2026-ARCH-03</w:t>
      </w:r>
    </w:p>
    <w:p>
      <w:pPr>
        <w:spacing w:after="120" w:line="276"/>
      </w:pPr>
      <w:r>
        <w:rPr>
          <w:rFonts w:ascii="Arial" w:cs="Arial" w:eastAsia="Arial" w:hAnsi="Arial"/>
          <w:b/>
          <w:bCs/>
          <w:sz w:val="22"/>
          <w:szCs w:val="22"/>
        </w:rPr>
        <w:t xml:space="preserve">Series position: </w:t>
      </w:r>
      <w:r>
        <w:rPr>
          <w:rFonts w:ascii="Arial" w:cs="Arial" w:eastAsia="Arial" w:hAnsi="Arial"/>
          <w:sz w:val="22"/>
          <w:szCs w:val="22"/>
        </w:rPr>
        <w:t xml:space="preserve">04-applied-enforcement/</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Upstream: </w:t>
      </w:r>
      <w:r>
        <w:rPr>
          <w:rFonts w:ascii="Arial" w:cs="Arial" w:eastAsia="Arial" w:hAnsi="Arial"/>
          <w:sz w:val="22"/>
          <w:szCs w:val="22"/>
        </w:rPr>
        <w:t xml:space="preserve">SIEGE-01, UNIFIED-01, PERSIST-01</w:t>
      </w:r>
    </w:p>
    <w:p>
      <w:pPr>
        <w:spacing w:after="120" w:line="276"/>
      </w:pPr>
      <w:r>
        <w:rPr>
          <w:rFonts w:ascii="Arial" w:cs="Arial" w:eastAsia="Arial" w:hAnsi="Arial"/>
          <w:b/>
          <w:bCs/>
          <w:sz w:val="22"/>
          <w:szCs w:val="22"/>
        </w:rPr>
        <w:t xml:space="preserve">Downstream: </w:t>
      </w:r>
      <w:r>
        <w:rPr>
          <w:rFonts w:ascii="Arial" w:cs="Arial" w:eastAsia="Arial" w:hAnsi="Arial"/>
          <w:sz w:val="22"/>
          <w:szCs w:val="22"/>
        </w:rPr>
        <w:t xml:space="preserve">ESCALATE-01, SENI-01</w:t>
      </w:r>
    </w:p>
    <w:p>
      <w:pPr>
        <w:spacing w:after="120" w:line="276"/>
      </w:pPr>
      <w:r>
        <w:rPr>
          <w:rFonts w:ascii="Arial" w:cs="Arial" w:eastAsia="Arial" w:hAnsi="Arial"/>
          <w:b/>
          <w:bCs/>
          <w:sz w:val="22"/>
          <w:szCs w:val="22"/>
        </w:rPr>
        <w:t xml:space="preserve">Companion: </w:t>
      </w:r>
      <w:r>
        <w:rPr>
          <w:rFonts w:ascii="Arial" w:cs="Arial" w:eastAsia="Arial" w:hAnsi="Arial"/>
          <w:sz w:val="22"/>
          <w:szCs w:val="22"/>
        </w:rPr>
        <w:t xml:space="preserve">CTF-01, CPF-02</w:t>
      </w:r>
    </w:p>
    <w:p>
      <w:pPr>
        <w:spacing w:after="120" w:line="276"/>
      </w:pPr>
      <w:r>
        <w:rPr>
          <w:rFonts w:ascii="Arial" w:cs="Arial" w:eastAsia="Arial" w:hAnsi="Arial"/>
          <w:b/>
          <w:bCs/>
          <w:sz w:val="22"/>
          <w:szCs w:val="22"/>
        </w:rPr>
        <w:t xml:space="preserve">Policy context: </w:t>
      </w:r>
      <w:r>
        <w:rPr>
          <w:rFonts w:ascii="Arial" w:cs="Arial" w:eastAsia="Arial" w:hAnsi="Arial"/>
          <w:sz w:val="22"/>
          <w:szCs w:val="22"/>
        </w:rPr>
        <w:t xml:space="preserve">FISCAL-01, NUC-01. All WP-2026 series documents are publicly available at github.com/collingeorge/WP-2026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WP-2026-ARCH-03  •  April 2026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pPr>
    <w:r>
      <w:rPr>
        <w:rFonts w:ascii="Arial" w:cs="Arial" w:eastAsia="Arial" w:hAnsi="Arial"/>
        <w:caps/>
        <w:color w:val="4A5568"/>
        <w:sz w:val="16"/>
        <w:szCs w:val="16"/>
      </w:rPr>
      <w:t xml:space="preserve">WP-2026-ARCH-03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20"/>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21"/>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2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2026-04-06T02:29:27.452Z</dcterms:created>
  <dcterms:modified xsi:type="dcterms:W3CDTF">2026-04-06T02:29:27.453Z</dcterms:modified>
</cp:coreProperties>
</file>

<file path=docProps/custom.xml><?xml version="1.0" encoding="utf-8"?>
<Properties xmlns="http://schemas.openxmlformats.org/officeDocument/2006/custom-properties" xmlns:vt="http://schemas.openxmlformats.org/officeDocument/2006/docPropsVTypes"/>
</file>