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“An Identity-Based Ethics for Engineering,” Collin Lucken. Science and Engineering Ethics. (Forthcoming.)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“When Does the Body Matter? A Dynamical Signature of Coupling Dependence in Evolved Neural Controllers,” Collin Lucken. From Animals to Animats 18: Proceedings of the 18th International Conference on the Simulation of Adaptive Behavior (SAB 2026), Berlin, Germany. (Forthcoming.)</w:t>
      </w:r>
    </w:p>
    <w:p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“Mindshaping and Learner-Centered Pedagogy: A Revealing Harmony,” Collin Lucken and W. John Koolage. Teaching Philosophy. (Forthcoming.)</w:t>
      </w:r>
    </w:p>
    <w:p w:rsidR="00FC200A" w:rsidRDefault="009950F9">
      <w:pPr>
        <w:ind w:left="13"/>
      </w:pPr>
      <w:r>
        <w:t xml:space="preserve">“The Erotetic Logic of William Whewell’s Fundamental Antithesis,” Collin Lucken. Studies in History and Philosophy of Science. (Forthcoming.)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“Scientific Works and the Transfer of Technique,” Collin Lucken. European Journal for Philosophy of Science. (Revise and Resubmit.)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Science,” Collin Lucken. (In Preparation.)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Machine Learning,” Collin Lucken. (In Preparation.)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