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36"/>
          <w:szCs w:val="36"/>
        </w:rPr>
        <w:t xml:space="preserve">PRE-SUBMISSION REVIEW</w:t>
      </w:r>
    </w:p>
    <w:p>
      <w:pPr>
        <w:spacing w:after="40"/>
        <w:jc w:val="center"/>
      </w:pPr>
      <w:r>
        <w:rPr>
          <w:i/>
          <w:iCs/>
          <w:color w:val="444444"/>
          <w:sz w:val="24"/>
          <w:szCs w:val="24"/>
        </w:rPr>
        <w:t xml:space="preserve">When Does the Body Matter? Measuring Embodiment Dependence Across Network Capacity</w:t>
      </w:r>
    </w:p>
    <w:p>
      <w:pPr>
        <w:spacing w:after="40"/>
        <w:jc w:val="center"/>
      </w:pPr>
      <w:r>
        <w:rPr>
          <w:color w:val="666666"/>
          <w:sz w:val="20"/>
          <w:szCs w:val="20"/>
        </w:rPr>
        <w:t xml:space="preserve">Target journal: Adaptive Behavior (SAGE)</w:t>
      </w:r>
    </w:p>
    <w:p>
      <w:pPr>
        <w:pBdr>
          <w:bottom w:val="single" w:color="1B3A5C" w:sz="6" w:space="8"/>
        </w:pBdr>
        <w:spacing w:after="300"/>
        <w:jc w:val="center"/>
      </w:pPr>
      <w:r>
        <w:rPr>
          <w:color w:val="666666"/>
          <w:sz w:val="20"/>
          <w:szCs w:val="20"/>
        </w:rPr>
        <w:t xml:space="preserve">Review date: February 20, 2026</w:t>
      </w:r>
    </w:p>
    <w:p>
      <w:pPr>
        <w:pStyle w:val="Heading1"/>
        <w:spacing w:before="240" w:after="120"/>
      </w:pPr>
      <w:r>
        <w:rPr>
          <w:b/>
          <w:bCs/>
        </w:rPr>
        <w:t xml:space="preserve">Executive Summary</w:t>
      </w:r>
    </w:p>
    <w:p>
      <w:pPr>
        <w:spacing w:after="120"/>
      </w:pPr>
      <w:r>
        <w:t xml:space="preserve">This manuscript makes a genuine empirical contribution to the embodied cognition literature by operationalizing </w:t>
      </w:r>
      <w:r>
        <w:rPr>
          <w:i/>
          <w:iCs/>
        </w:rPr>
        <w:t xml:space="preserve">embodiment dependence</w:t>
      </w:r>
      <w:r>
        <w:t xml:space="preserve"> as a measurable property of neural dynamics and demonstrating that it varies systematically with computational capacity. The philosophical framing is careful, the experimental design is rigorous (60 conditions, 6 network sizes × 10 seeds), and the multi-level mechanistic analysis (weight → spectral → attractor) is the paper’s strongest feature. The writing is clear and appropriately cautious about the scope of its claims.</w:t>
      </w:r>
    </w:p>
    <w:p>
      <w:pPr>
        <w:spacing w:after="120"/>
      </w:pPr>
      <w:r>
        <w:t xml:space="preserve">However, the manuscript contains several errors that must be corrected before submission, including one factual error in a reported test statistic, an internal contradiction about which predictor is “strongest,” and a false claim of monotonicity. There are also structural and strategic issues that, while not fatal, would likely draw reviewer criticism at a journal like </w:t>
      </w:r>
      <w:r>
        <w:rPr>
          <w:i/>
          <w:iCs/>
        </w:rPr>
        <w:t xml:space="preserve">Adaptive Behavior</w:t>
      </w:r>
      <w:r>
        <w:t xml:space="preserve">. Below I organize findings by severity.</w:t>
      </w:r>
    </w:p>
    <w:p>
      <w:pPr>
        <w:pStyle w:val="Heading1"/>
        <w:spacing w:before="240" w:after="120"/>
      </w:pPr>
      <w:r>
        <w:rPr>
          <w:b/>
          <w:bCs/>
        </w:rP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360"/>
      </w:tblGrid>
      <w:tr>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Severity</w:t>
            </w:r>
          </w:p>
        </w:tc>
        <w:tc>
          <w:tcPr>
            <w:tcW w:type="dxa" w:w="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ID</w:t>
            </w:r>
          </w:p>
        </w:tc>
        <w:tc>
          <w:tcPr>
            <w:tcW w:type="dxa" w:w="73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Issue</w:t>
            </w:r>
          </w:p>
        </w:tc>
      </w:tr>
      <w:tr>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b/>
                <w:bCs/>
                <w:color w:val="FFFFFF"/>
                <w:sz w:val="20"/>
                <w:szCs w:val="20"/>
              </w:rPr>
              <w:t xml:space="preserve">CRITICAL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C1</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Internal contradiction: input sensitivity (ρ=0.555) claimed to “surpass” growth rate (ρ=0.58)</w:t>
            </w:r>
          </w:p>
        </w:tc>
      </w:tr>
      <w:tr>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b/>
                <w:bCs/>
                <w:color w:val="FFFFFF"/>
                <w:sz w:val="20"/>
                <w:szCs w:val="20"/>
              </w:rPr>
              <w:t xml:space="preserve">CRITICAL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C2</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Mann-Whitney U statistic reported as 17.0; actual value is 84.0</w:t>
            </w:r>
          </w:p>
        </w:tc>
      </w:tr>
      <w:tr>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b/>
                <w:bCs/>
                <w:color w:val="FFFFFF"/>
                <w:sz w:val="20"/>
                <w:szCs w:val="20"/>
              </w:rPr>
              <w:t xml:space="preserve">CRITICAL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C3</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CV claimed “monotonically decreasing” but n=6 (53.5%) &gt; n=5 (46.2%)</w:t>
            </w:r>
          </w:p>
        </w:tc>
      </w:tr>
      <w:tr>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b/>
                <w:bCs/>
                <w:color w:val="FFFFFF"/>
                <w:sz w:val="20"/>
                <w:szCs w:val="20"/>
              </w:rPr>
              <w:t xml:space="preserve">MAJOR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M1</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26 FDR-corrected tests never enumerated; reader cannot verify 23/26 claim</w:t>
            </w:r>
          </w:p>
        </w:tc>
      </w:tr>
      <w:tr>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b/>
                <w:bCs/>
                <w:color w:val="FFFFFF"/>
                <w:sz w:val="20"/>
                <w:szCs w:val="20"/>
              </w:rPr>
              <w:t xml:space="preserve">MAJOR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M2</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Type C category too heterogeneous — captures 47% of conditions, undermines classification</w:t>
            </w:r>
          </w:p>
        </w:tc>
      </w:tr>
      <w:tr>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b/>
                <w:bCs/>
                <w:color w:val="FFFFFF"/>
                <w:sz w:val="20"/>
                <w:szCs w:val="20"/>
              </w:rPr>
              <w:t xml:space="preserve">MAJOR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M3</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effect size reported for the primary finding (ρ=0.392); ρ²≈0.15 is modest</w:t>
            </w:r>
          </w:p>
        </w:tc>
      </w:tr>
      <w:tr>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b/>
                <w:bCs/>
                <w:color w:val="FFFFFF"/>
                <w:sz w:val="20"/>
                <w:szCs w:val="20"/>
              </w:rPr>
              <w:t xml:space="preserve">MAJOR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M4</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Partial correlation “mediation” language overstates what correlational evidence supports</w:t>
            </w:r>
          </w:p>
        </w:tc>
      </w:tr>
      <w:tr>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b/>
                <w:bCs/>
                <w:color w:val="FFFFFF"/>
                <w:sz w:val="20"/>
                <w:szCs w:val="20"/>
              </w:rPr>
              <w:t xml:space="preserve">MAJOR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M5</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 orphaned bibliography entries</w:t>
            </w:r>
          </w:p>
        </w:tc>
      </w:tr>
      <w:tr>
        <w:tc>
          <w:tcPr>
            <w:tcW w:type="dxa" w:w="1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b/>
                <w:bCs/>
                <w:color w:val="FFFFFF"/>
                <w:sz w:val="20"/>
                <w:szCs w:val="20"/>
              </w:rPr>
              <w:t xml:space="preserve">MINOR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m1</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Abstract reports ρ=0.39; body reports ρ=0.392 — inconsistent rounding</w:t>
            </w:r>
          </w:p>
        </w:tc>
      </w:tr>
      <w:tr>
        <w:tc>
          <w:tcPr>
            <w:tcW w:type="dxa" w:w="1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b/>
                <w:bCs/>
                <w:color w:val="FFFFFF"/>
                <w:sz w:val="20"/>
                <w:szCs w:val="20"/>
              </w:rPr>
              <w:t xml:space="preserve">MINOR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m2</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fig1_neural_trajectories.png dated Feb 17 (pre-n=60 regeneration)</w:t>
            </w:r>
          </w:p>
        </w:tc>
      </w:tr>
      <w:tr>
        <w:tc>
          <w:tcPr>
            <w:tcW w:type="dxa" w:w="1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b/>
                <w:bCs/>
                <w:color w:val="FFFFFF"/>
                <w:sz w:val="20"/>
                <w:szCs w:val="20"/>
              </w:rPr>
              <w:t xml:space="preserve">MINOR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m3</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“Section 3.6” and “Section 3.5” label references in plan of paper don’t match actual section numbering</w:t>
            </w:r>
          </w:p>
        </w:tc>
      </w:tr>
      <w:tr>
        <w:tc>
          <w:tcPr>
            <w:tcW w:type="dxa" w:w="1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b/>
                <w:bCs/>
                <w:color w:val="FFFFFF"/>
                <w:sz w:val="20"/>
                <w:szCs w:val="20"/>
              </w:rPr>
              <w:t xml:space="preserve">MINOR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m4</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Seed 137 outlier discussed but no sensitivity analysis excluding it</w:t>
            </w:r>
          </w:p>
        </w:tc>
      </w:tr>
      <w:tr>
        <w:tc>
          <w:tcPr>
            <w:tcW w:type="dxa" w:w="1200"/>
            <w:tcBorders>
              <w:top w:val="single" w:color="CCCCCC" w:sz="1"/>
              <w:left w:val="single" w:color="CCCCCC" w:sz="1"/>
              <w:bottom w:val="single" w:color="CCCCCC" w:sz="1"/>
              <w:right w:val="single" w:color="CCCCCC" w:sz="1"/>
            </w:tcBorders>
            <w:shd w:fill="2980B9" w:val="clear"/>
            <w:tcMar>
              <w:top w:type="dxa" w:w="60"/>
              <w:left w:type="dxa" w:w="100"/>
              <w:bottom w:type="dxa" w:w="60"/>
              <w:right w:type="dxa" w:w="100"/>
            </w:tcMar>
            <w:vAlign w:val="center"/>
          </w:tcPr>
          <w:p>
            <w:pPr>
              <w:jc w:val="center"/>
            </w:pPr>
            <w:r>
              <w:rPr>
                <w:b/>
                <w:bCs/>
                <w:color w:val="FFFFFF"/>
                <w:sz w:val="20"/>
                <w:szCs w:val="20"/>
              </w:rPr>
              <w:t xml:space="preserve">MINOR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m5</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Line numbers commented out (‘% \linenumbers’) — should be enabled for review submission</w:t>
            </w:r>
          </w:p>
        </w:tc>
      </w:tr>
      <w:tr>
        <w:tc>
          <w:tcPr>
            <w:tcW w:type="dxa" w:w="1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b/>
                <w:bCs/>
                <w:color w:val="FFFFFF"/>
                <w:sz w:val="20"/>
                <w:szCs w:val="20"/>
              </w:rPr>
              <w:t xml:space="preserve">SUGGEST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S1</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Discussion section is long (~4 pages); consider tightening active inference connection</w:t>
            </w:r>
          </w:p>
        </w:tc>
      </w:tr>
      <w:tr>
        <w:tc>
          <w:tcPr>
            <w:tcW w:type="dxa" w:w="1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b/>
                <w:bCs/>
                <w:color w:val="FFFFFF"/>
                <w:sz w:val="20"/>
                <w:szCs w:val="20"/>
              </w:rPr>
              <w:t xml:space="preserve">SUGGEST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S2</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Consider supplementary table enumerating all 26 tests with raw p, FDR q, and status</w:t>
            </w:r>
          </w:p>
        </w:tc>
      </w:tr>
      <w:tr>
        <w:tc>
          <w:tcPr>
            <w:tcW w:type="dxa" w:w="12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b/>
                <w:bCs/>
                <w:color w:val="FFFFFF"/>
                <w:sz w:val="20"/>
                <w:szCs w:val="20"/>
              </w:rPr>
              <w:t xml:space="preserve">SUGGEST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sz w:val="20"/>
                <w:szCs w:val="20"/>
              </w:rPr>
              <w:t xml:space="preserve">S3</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The Potochnik causal-patterns subsection is elegant but may feel tangential to empirically-focused reviewers</w:t>
            </w:r>
          </w:p>
        </w:tc>
      </w:tr>
    </w:tbl>
    <w:p>
      <w:r>
        <w:br w:type="page"/>
      </w:r>
    </w:p>
    <w:p>
      <w:pPr>
        <w:pStyle w:val="Heading1"/>
        <w:spacing w:before="240" w:after="120"/>
      </w:pPr>
      <w:r>
        <w:rPr>
          <w:b/>
          <w:bCs/>
        </w:rPr>
        <w:t xml:space="preserve">Critical Issues (Must Fix Before Submission)</w:t>
      </w:r>
    </w:p>
    <w:p>
      <w:pPr>
        <w:pStyle w:val="Heading2"/>
        <w:spacing w:before="240" w:after="120"/>
      </w:pPr>
      <w:r>
        <w:rPr>
          <w:b/>
          <w:bCs/>
        </w:rPr>
        <w:t xml:space="preserve">C1. Internal Contradiction: “Strongest Single Predictor”</w:t>
      </w:r>
    </w:p>
    <w:p>
      <w:pPr>
        <w:spacing w:after="120"/>
      </w:pPr>
      <w:r>
        <w:t xml:space="preserve">The manuscript contains a direct numerical contradiction. Contribution 4 (line 73) states that input sensitivity (ρ=+0.555) is the strongest single predictor, “</w:t>
      </w:r>
      <w:r>
        <w:rPr>
          <w:i/>
          <w:iCs/>
        </w:rPr>
        <w:t xml:space="preserve">surpassing both growth rate (ρ=0.58) and self-connection polarity (ρ=0.37)</w:t>
      </w:r>
      <w:r>
        <w:t xml:space="preserve">.” But 0.555 &lt; 0.58. Input sensitivity does not surpass growth rate. The abstract also calls input sensitivity “the strongest single predictor across all 60 conditions,” which is misleading. Section 5.1 correctly says input sensitivity is “comparable to growth rate (ρ=0.58),” contradicting the abstract and Contribution 4.</w:t>
      </w:r>
    </w:p>
    <w:p>
      <w:pPr>
        <w:spacing w:after="120"/>
      </w:pPr>
      <w:r>
        <w:rPr>
          <w:b/>
          <w:bCs/>
        </w:rPr>
        <w:t xml:space="preserve">Fix: </w:t>
      </w:r>
      <w:r>
        <w:t xml:space="preserve">Decide which framing is accurate. If input sensitivity is not the single strongest predictor (it isn’t, numerically), either: (a) reframe it as “among the strongest predictors and the strongest </w:t>
      </w:r>
      <w:r>
        <w:rPr>
          <w:i/>
          <w:iCs/>
        </w:rPr>
        <w:t xml:space="preserve">attractor-geometry</w:t>
      </w:r>
      <w:r>
        <w:t xml:space="preserve"> predictor”; or (b) verify whether the difference between ρ=0.555 and ρ=0.58 is statistically significant (it almost certainly is not with n=60), and describe them as “comparably strong.” The abstract, Contribution 4, and Discussion must all agree.</w:t>
      </w:r>
    </w:p>
    <w:p>
      <w:pPr>
        <w:pStyle w:val="Heading2"/>
        <w:spacing w:before="240" w:after="120"/>
      </w:pPr>
      <w:r>
        <w:rPr>
          <w:b/>
          <w:bCs/>
        </w:rPr>
        <w:t xml:space="preserve">C2. Mann-Whitney U Statistic</w:t>
      </w:r>
    </w:p>
    <w:p>
      <w:pPr>
        <w:spacing w:after="120"/>
      </w:pPr>
      <w:r>
        <w:t xml:space="preserve">Section 4.2 reports “Post-hoc Mann-Whitney small (n=2-3) vs. large (n=6-8): U=17.0.” The actual U statistic computed from the data is U=84.0. The p-value (&lt;0.001) and Cohen’s d (1.08) are correct. This appears to be a transcription error (scipy.stats.mannwhitneyu returns U=84 for one direction; the minimum of U and n1*n2-U is 84, not 17). This must be corrected.</w:t>
      </w:r>
    </w:p>
    <w:p>
      <w:pPr>
        <w:spacing w:after="120"/>
      </w:pPr>
      <w:r>
        <w:rPr>
          <w:b/>
          <w:bCs/>
        </w:rPr>
        <w:t xml:space="preserve">Fix: </w:t>
      </w:r>
      <w:r>
        <w:t xml:space="preserve">Change U=17.0 to U=84.0 in Section 4.2.</w:t>
      </w:r>
    </w:p>
    <w:p>
      <w:pPr>
        <w:pStyle w:val="Heading2"/>
        <w:spacing w:before="240" w:after="120"/>
      </w:pPr>
      <w:r>
        <w:rPr>
          <w:b/>
          <w:bCs/>
        </w:rPr>
        <w:t xml:space="preserve">C3. CV Monotonicity Claim</w:t>
      </w:r>
    </w:p>
    <w:p>
      <w:pPr>
        <w:spacing w:after="120"/>
      </w:pPr>
      <w:r>
        <w:t xml:space="preserve">Section 4.2 states: “The coefficient of variation decreases monotonically from 84% (n=2) to 43% (n=8).” The actual CV values are: n=2: 84.2%, n=3: 72.2%, n=4: 55.9%, n=5: 46.2%, n=6: 53.5%, n=8: 43.4%. The CV at n=6 is higher than at n=5, breaking monotonicity. Figure 2’s caption repeats this claim. The abstract also states “variance reduction from 84% to 43% CV” which, while technically correct about the endpoints, implies monotonicity.</w:t>
      </w:r>
    </w:p>
    <w:p>
      <w:pPr>
        <w:spacing w:after="120"/>
      </w:pPr>
      <w:r>
        <w:rPr>
          <w:b/>
          <w:bCs/>
        </w:rPr>
        <w:t xml:space="preserve">Fix: </w:t>
      </w:r>
      <w:r>
        <w:t xml:space="preserve">Replace “monotonically” with “generally” or “with a broad downward trend.” Note the n=6 departure explicitly, or at minimum remove the word “monotonically” from Section 4.2 and Figure 2’s caption.</w:t>
      </w:r>
    </w:p>
    <w:p>
      <w:r>
        <w:br w:type="page"/>
      </w:r>
    </w:p>
    <w:p>
      <w:pPr>
        <w:pStyle w:val="Heading1"/>
        <w:spacing w:before="240" w:after="120"/>
      </w:pPr>
      <w:r>
        <w:rPr>
          <w:b/>
          <w:bCs/>
        </w:rPr>
        <w:t xml:space="preserve">Major Issues (Should Fix Before Submission)</w:t>
      </w:r>
    </w:p>
    <w:p>
      <w:pPr>
        <w:pStyle w:val="Heading2"/>
        <w:spacing w:before="240" w:after="120"/>
      </w:pPr>
      <w:r>
        <w:rPr>
          <w:b/>
          <w:bCs/>
        </w:rPr>
        <w:t xml:space="preserve">M1. FDR Tests Not Enumerated</w:t>
      </w:r>
    </w:p>
    <w:p>
      <w:pPr>
        <w:spacing w:after="120"/>
      </w:pPr>
      <w:r>
        <w:t xml:space="preserve">The paper claims “23/26 tests at q&lt;0.05” (abstract, Section 4.0) but never lists all 26 tests. A reviewer performing due diligence cannot verify this claim without reconstructing the test list themselves. I have enumerated 26 tests from the text (see appendix to this review), and I confirm that 3 fail FDR: (1) Kruskal-Wallis (q=0.052), (2) partial correlation of self-connection controlling for eigenvalue (p=0.15), and (3) partial correlation of bifurcation count controlling for input sensitivity (p=0.67). The claim is correct, but unverifiable as written.</w:t>
      </w:r>
    </w:p>
    <w:p>
      <w:pPr>
        <w:spacing w:after="120"/>
      </w:pPr>
      <w:r>
        <w:rPr>
          <w:b/>
          <w:bCs/>
        </w:rPr>
        <w:t xml:space="preserve">Fix: </w:t>
      </w:r>
      <w:r>
        <w:t xml:space="preserve">Add a supplementary table listing all 26 tests with: test name, raw p-value, BH-corrected q-value, and survival status. This is standard practice for FDR-corrected papers.</w:t>
      </w:r>
    </w:p>
    <w:p>
      <w:pPr>
        <w:pStyle w:val="Heading2"/>
        <w:spacing w:before="240" w:after="120"/>
      </w:pPr>
      <w:r>
        <w:rPr>
          <w:b/>
          <w:bCs/>
        </w:rPr>
        <w:t xml:space="preserve">M2. Type C Category Heterogeneity</w:t>
      </w:r>
    </w:p>
    <w:p>
      <w:pPr>
        <w:spacing w:after="120"/>
      </w:pPr>
      <w:r>
        <w:t xml:space="preserve">The three-type classification (A/B/C) places 28/60 conditions (47%) into Type C (“Mixed”), which has a mean ED of 0.561 ± 0.300 — nearly the same standard deviation as the entire sample. Type C is essentially a catch-all for everything that doesn’t fit Types A or B. This is why LOO-CV drops from 96.7% resubstitution to 70.0%: Type C conditions span the full range of ED values. A reviewer will ask: “If nearly half your sample falls into an undifferentiated ‘mixed’ category, what explanatory work does the classification actually do?”</w:t>
      </w:r>
    </w:p>
    <w:p>
      <w:pPr>
        <w:spacing w:after="120"/>
      </w:pPr>
      <w:r>
        <w:rPr>
          <w:b/>
          <w:bCs/>
        </w:rPr>
        <w:t xml:space="preserve">Fix: </w:t>
      </w:r>
      <w:r>
        <w:t xml:space="preserve">Either (a) acknowledge this limitation more directly — the current text mentions it in passing but doesn’t address the fundamental issue that Type C contains both high-ED and low-ED conditions; or (b) attempt a finer-grained classification, perhaps splitting Type C into sub-categories based on a secondary criterion (e.g., bifurcation count or input sensitivity). Option (a) is simpler and probably sufficient for a first paper.</w:t>
      </w:r>
    </w:p>
    <w:p>
      <w:pPr>
        <w:pStyle w:val="Heading2"/>
        <w:spacing w:before="240" w:after="120"/>
      </w:pPr>
      <w:r>
        <w:rPr>
          <w:b/>
          <w:bCs/>
        </w:rPr>
        <w:t xml:space="preserve">M3. Effect Size Context for Primary Finding</w:t>
      </w:r>
    </w:p>
    <w:p>
      <w:pPr>
        <w:spacing w:after="120"/>
      </w:pPr>
      <w:r>
        <w:t xml:space="preserve">The primary finding (ρ=0.392, ρ²≈0.15) means network size explains roughly 15% of variance in ED. This is acknowledged in the text, but not contextualized for the reader. In many fields, 15% explained variance from a single architectural variable would be considered a substantial effect; in others, it would be modest. The paper should frame this explicitly, especially given that the remaining 85% is attributed to “evolutionary trajectory stochasticity.” A reviewer may ask whether the high stochasticity undermines the practical significance of the finding.</w:t>
      </w:r>
    </w:p>
    <w:p>
      <w:pPr>
        <w:spacing w:after="120"/>
      </w:pPr>
      <w:r>
        <w:rPr>
          <w:b/>
          <w:bCs/>
        </w:rPr>
        <w:t xml:space="preserve">Fix: </w:t>
      </w:r>
      <w:r>
        <w:t xml:space="preserve">Add 1–2 sentences in Section 5.1 contextualizing the effect size. Compare to typical effect sizes in evolutionary robotics studies or cite Cohen’s benchmarks for behavioral sciences. The variance-reduction finding (CV 84%→43%) is arguably more compelling than the correlation and should be foregrounded even more.</w:t>
      </w:r>
    </w:p>
    <w:p>
      <w:pPr>
        <w:pStyle w:val="Heading2"/>
        <w:spacing w:before="240" w:after="120"/>
      </w:pPr>
      <w:r>
        <w:rPr>
          <w:b/>
          <w:bCs/>
        </w:rPr>
        <w:t xml:space="preserve">M4. “Mediation” Language in Partial Correlation Analysis</w:t>
      </w:r>
    </w:p>
    <w:p>
      <w:pPr>
        <w:spacing w:after="120"/>
      </w:pPr>
      <w:r>
        <w:t xml:space="preserve">Section 4.6.4 and Section 5.1 describe the partial correlation results using mediation-adjacent language: “eigenvalue structure accounts for roughly half of the self-connection → embodiment dependence relationship.” The text includes appropriate caveats (“correlational rather than interventional,” “suggestive rather than definitive”), but the word “accounts for” still implies a causal mediation claim. In observational data, partial correlations demonstrate conditional associations, not mediation. Barring experimental manipulation of eigenvalue structure while holding self-connections constant, the causal direction is underdetermined.</w:t>
      </w:r>
    </w:p>
    <w:p>
      <w:pPr>
        <w:spacing w:after="120"/>
      </w:pPr>
      <w:r>
        <w:rPr>
          <w:b/>
          <w:bCs/>
        </w:rPr>
        <w:t xml:space="preserve">Fix: </w:t>
      </w:r>
      <w:r>
        <w:t xml:space="preserve">Replace “accounts for” with “is consistent with partially explaining” or “statistically subsumes.” The existing caveats are good; the operative verbs need to match them.</w:t>
      </w:r>
    </w:p>
    <w:p>
      <w:pPr>
        <w:pStyle w:val="Heading2"/>
        <w:spacing w:before="240" w:after="120"/>
      </w:pPr>
      <w:r>
        <w:rPr>
          <w:b/>
          <w:bCs/>
        </w:rPr>
        <w:t xml:space="preserve">M5. Orphaned Bibliography Entries</w:t>
      </w:r>
    </w:p>
    <w:p>
      <w:pPr>
        <w:spacing w:after="120"/>
      </w:pPr>
      <w:r>
        <w:t xml:space="preserve">Six entries in paper2.bib are not cited anywhere in the manuscript: Beyer2002, Bongard2011, Levins1966, Parker2020, Weisberg2013, Wimsatt1981. These are all strong references (Levins on model-building strategy, Weisberg on simulation, Wimsatt on robustness) that would strengthen the paper if cited, particularly in the Discussion’s limitations/toy-model epistemology section. If they were intended for a section that was cut, they should either be re-integrated or removed.</w:t>
      </w:r>
    </w:p>
    <w:p>
      <w:pPr>
        <w:spacing w:after="120"/>
      </w:pPr>
      <w:r>
        <w:rPr>
          <w:b/>
          <w:bCs/>
        </w:rPr>
        <w:t xml:space="preserve">Fix: </w:t>
      </w:r>
      <w:r>
        <w:t xml:space="preserve">Either cite these where appropriate (Levins1966 and Weisberg2013 pair naturally with the new Beer2024 toy-model limitation item; Wimsatt1981 with the robustness/triangulation argument in Section 2.3) or remove them from the .bib file.</w:t>
      </w:r>
    </w:p>
    <w:p>
      <w:r>
        <w:br w:type="page"/>
      </w:r>
    </w:p>
    <w:p>
      <w:pPr>
        <w:pStyle w:val="Heading1"/>
        <w:spacing w:before="240" w:after="120"/>
      </w:pPr>
      <w:r>
        <w:rPr>
          <w:b/>
          <w:bCs/>
        </w:rPr>
        <w:t xml:space="preserve">Minor Issues</w:t>
      </w:r>
    </w:p>
    <w:p>
      <w:pPr>
        <w:pStyle w:val="Heading2"/>
        <w:spacing w:before="240" w:after="120"/>
      </w:pPr>
      <w:r>
        <w:rPr>
          <w:b/>
          <w:bCs/>
        </w:rPr>
        <w:t xml:space="preserve">m1. Inconsistent Rounding</w:t>
      </w:r>
    </w:p>
    <w:p>
      <w:pPr>
        <w:spacing w:after="120"/>
      </w:pPr>
      <w:r>
        <w:t xml:space="preserve">The abstract reports “Spearman ρ=0.39”; the body reports “ρ=0.392.” Choose a consistent precision (I recommend 3 decimal places throughout, i.e., 0.392).</w:t>
      </w:r>
    </w:p>
    <w:p>
      <w:pPr>
        <w:pStyle w:val="Heading2"/>
        <w:spacing w:before="240" w:after="120"/>
      </w:pPr>
      <w:r>
        <w:rPr>
          <w:b/>
          <w:bCs/>
        </w:rPr>
        <w:t xml:space="preserve">m2. Figure 1 (Neural Trajectories) Possibly Stale</w:t>
      </w:r>
    </w:p>
    <w:p>
      <w:pPr>
        <w:spacing w:after="120"/>
      </w:pPr>
      <w:r>
        <w:t xml:space="preserve">fig1_neural_trajectories.png is dated February 17 — before the n=60 data regeneration on February 19. The other main figures (fig1_scatter_boxplot, fig2, fig3, fig4) were regenerated February 19, and fig5/fig6 on February 20. If Figure 1 uses a specific example agent, it may still be valid (it shows a single exemplar, not aggregate data), but this should be verified.</w:t>
      </w:r>
    </w:p>
    <w:p>
      <w:pPr>
        <w:pStyle w:val="Heading2"/>
        <w:spacing w:before="240" w:after="120"/>
      </w:pPr>
      <w:r>
        <w:rPr>
          <w:b/>
          <w:bCs/>
        </w:rPr>
        <w:t xml:space="preserve">m3. Section Numbering in Plan of Paper</w:t>
      </w:r>
    </w:p>
    <w:p>
      <w:pPr>
        <w:spacing w:after="120"/>
      </w:pPr>
      <w:r>
        <w:t xml:space="preserve">Section 1.4 references “Section 3” for methods and “Section 4” for results, etc. Verify these match the actual \label{}/\ref{} targets after all edits, since sections were reorganized.</w:t>
      </w:r>
    </w:p>
    <w:p>
      <w:pPr>
        <w:pStyle w:val="Heading2"/>
        <w:spacing w:before="240" w:after="120"/>
      </w:pPr>
      <w:r>
        <w:rPr>
          <w:b/>
          <w:bCs/>
        </w:rPr>
        <w:t xml:space="preserve">m4. Seed 137 Outlier</w:t>
      </w:r>
    </w:p>
    <w:p>
      <w:pPr>
        <w:spacing w:after="120"/>
      </w:pPr>
      <w:r>
        <w:t xml:space="preserve">Section 4.2 identifies Seed 137 as an “outlier overperformer” (mean 0.872 across all sizes). The paper discusses the 3-seed vs. 10-seed disparity but does not report the primary Spearman correlation with Seed 137 excluded. A reviewer will likely ask for this. If ρ remains significant without Seed 137 (it likely does given n=54 remaining), this strengthens the paper. If not, it’s a vulnerability you’d rather discover now.</w:t>
      </w:r>
    </w:p>
    <w:p>
      <w:pPr>
        <w:pStyle w:val="Heading2"/>
        <w:spacing w:before="240" w:after="120"/>
      </w:pPr>
      <w:r>
        <w:rPr>
          <w:b/>
          <w:bCs/>
        </w:rPr>
        <w:t xml:space="preserve">m5. Line Numbers for Review</w:t>
      </w:r>
    </w:p>
    <w:p>
      <w:pPr>
        <w:spacing w:after="120"/>
      </w:pPr>
      <w:r>
        <w:t xml:space="preserve">The \linenumbers command is commented out. For journal submission, uncomment it. Reviewers need line numbers to reference specific passages.</w:t>
      </w:r>
    </w:p>
    <w:p>
      <w:r>
        <w:br w:type="page"/>
      </w:r>
    </w:p>
    <w:p>
      <w:pPr>
        <w:pStyle w:val="Heading1"/>
        <w:spacing w:before="240" w:after="120"/>
      </w:pPr>
      <w:r>
        <w:rPr>
          <w:b/>
          <w:bCs/>
        </w:rPr>
        <w:t xml:space="preserve">Strategic Suggestions</w:t>
      </w:r>
    </w:p>
    <w:p>
      <w:pPr>
        <w:pStyle w:val="Heading2"/>
        <w:spacing w:before="240" w:after="120"/>
      </w:pPr>
      <w:r>
        <w:rPr>
          <w:b/>
          <w:bCs/>
        </w:rPr>
        <w:t xml:space="preserve">S1. Discussion Length</w:t>
      </w:r>
    </w:p>
    <w:p>
      <w:pPr>
        <w:spacing w:after="120"/>
      </w:pPr>
      <w:r>
        <w:t xml:space="preserve">The Discussion spans approximately 4 full pages across 5 subsections (Capacity-Dependence, Active Inference, Causal Patterns, Scope, Methodology, Limitations). The Active Inference subsection (5.2) alone is nearly 2 pages, including three specific untested predictions. This is thorough but potentially exhausting for reviewers. Consider whether the three predictions (surprise measures, comparable surprise in Type B, transition from model-based to coupling-based) could be moved to a “Future Directions” section or compressed into a single paragraph. The core connection (input sensitivity ≈ tight coupling ≈ active inference) can be made more efficiently.</w:t>
      </w:r>
    </w:p>
    <w:p>
      <w:pPr>
        <w:pStyle w:val="Heading2"/>
        <w:spacing w:before="240" w:after="120"/>
      </w:pPr>
      <w:r>
        <w:rPr>
          <w:b/>
          <w:bCs/>
        </w:rPr>
        <w:t xml:space="preserve">S2. FDR Supplementary Table</w:t>
      </w:r>
    </w:p>
    <w:p>
      <w:pPr>
        <w:spacing w:after="120"/>
      </w:pPr>
      <w:r>
        <w:t xml:space="preserve">As noted in M1, a supplementary table of all 26 tests would serve both transparency and self-interest: it preempts the reviewer who wants to check your correction, and it demonstrates methodological rigor. Format: Test | Section | Raw p | BH q | Survives | Confirmatory/Exploratory.</w:t>
      </w:r>
    </w:p>
    <w:p>
      <w:pPr>
        <w:pStyle w:val="Heading2"/>
        <w:spacing w:before="240" w:after="120"/>
      </w:pPr>
      <w:r>
        <w:rPr>
          <w:b/>
          <w:bCs/>
        </w:rPr>
        <w:t xml:space="preserve">S3. Potochnik Subsection</w:t>
      </w:r>
    </w:p>
    <w:p>
      <w:pPr>
        <w:spacing w:after="120"/>
      </w:pPr>
      <w:r>
        <w:t xml:space="preserve">Section 5.3 (Causal Patterns) is intellectually interesting and well-written, but it may strike empirically-oriented reviewers as an extended philosophical aside. The neural stability pattern and neural coupling pattern are essentially restatements of the Type B and Type A findings in Potochnik’s vocabulary. Consider whether this subsection adds enough beyond the mechanistic account in Section 5.1 to justify its length, or whether it could be condensed to a paragraph within Section 5.1.</w:t>
      </w:r>
    </w:p>
    <w:p>
      <w:r>
        <w:br w:type="page"/>
      </w:r>
    </w:p>
    <w:p>
      <w:pPr>
        <w:pStyle w:val="Heading1"/>
        <w:spacing w:before="240" w:after="120"/>
      </w:pPr>
      <w:r>
        <w:rPr>
          <w:b/>
          <w:bCs/>
        </w:rPr>
        <w:t xml:space="preserve">Structural Assessment</w:t>
      </w:r>
    </w:p>
    <w:p>
      <w:pPr>
        <w:pStyle w:val="Heading2"/>
        <w:spacing w:before="240" w:after="120"/>
      </w:pPr>
      <w:r>
        <w:rPr>
          <w:b/>
          <w:bCs/>
        </w:rPr>
        <w:t xml:space="preserve">Argument Coherence</w:t>
      </w:r>
    </w:p>
    <w:p>
      <w:pPr>
        <w:spacing w:after="120"/>
      </w:pPr>
      <w:r>
        <w:t xml:space="preserve">The paper’s argument structure is sound. The move from philosophical framework (Section 2) through methods (Section 3) to results (Section 4) to discussion (Section 5) follows a logical progression. The key rhetorical choice — framing ED as distinct from constitutive embodiment — is executed consistently throughout. Each section builds on the previous one without redundancy.</w:t>
      </w:r>
    </w:p>
    <w:p>
      <w:pPr>
        <w:spacing w:after="120"/>
      </w:pPr>
      <w:r>
        <w:t xml:space="preserve">The four contributions are clearly stated and each is delivered. The weakest is Contribution 1 (methodological: corrected ghost conditions), which is important but is primarily a correction of existing methodology rather than a novel contribution. The strongest is Contribution 4 (attractor geometry), which provides the most original analysis.</w:t>
      </w:r>
    </w:p>
    <w:p>
      <w:pPr>
        <w:pStyle w:val="Heading2"/>
        <w:spacing w:before="240" w:after="120"/>
      </w:pPr>
      <w:r>
        <w:rPr>
          <w:b/>
          <w:bCs/>
        </w:rPr>
        <w:t xml:space="preserve">Statistical Rigor</w:t>
      </w:r>
    </w:p>
    <w:p>
      <w:pPr>
        <w:spacing w:after="120"/>
      </w:pPr>
      <w:r>
        <w:t xml:space="preserve">The statistical framework is strong. The confirmatory/exploratory distinction is clearly drawn. FDR correction is applied. Bootstrap CIs are reported. The paper is unusually transparent about what it does and does not establish. The self-critical treatment of the 3-seed vs. 10-seed disparity (Section 4.3) is a model of methodological honesty that reviewers will appreciate.</w:t>
      </w:r>
    </w:p>
    <w:p>
      <w:pPr>
        <w:spacing w:after="120"/>
      </w:pPr>
      <w:r>
        <w:t xml:space="preserve">Two concerns: (1) The paper reports both Spearman and Pearson correlations for the primary finding but doesn’t justify why both are needed. If the relationship is monotonic but not linear, Spearman is appropriate and Pearson is redundant. If both are reported for robustness, say so. (2) The partial correlation analysis is described as “validating” a causal chain (Section 4.6.4 heading says “Causal Chain Validation”), but partial correlations cannot validate causal chains — they can only assess consistency with a proposed causal model. The heading should be revised.</w:t>
      </w:r>
    </w:p>
    <w:p>
      <w:pPr>
        <w:pStyle w:val="Heading2"/>
        <w:spacing w:before="240" w:after="120"/>
      </w:pPr>
      <w:r>
        <w:rPr>
          <w:b/>
          <w:bCs/>
        </w:rPr>
        <w:t xml:space="preserve">Positioning for Adaptive Behavior</w:t>
      </w:r>
    </w:p>
    <w:p>
      <w:pPr>
        <w:spacing w:after="120"/>
      </w:pPr>
      <w:r>
        <w:rPr>
          <w:i/>
          <w:iCs/>
        </w:rPr>
        <w:t xml:space="preserve">Adaptive Behavior</w:t>
      </w:r>
      <w:r>
        <w:t xml:space="preserve"> is an ideal venue. The paper engages directly with Beer’s CTRNN tradition (the journal’s intellectual home base), cites the right foundational papers (Beer 1995, Di Paolo 2000, Izquierdo &amp; Di Paolo 2005), and extends that tradition in a novel direction. The philosophical framework will be well-received by this audience. The new Beer citations (2021, 2023, 2024) and the Aguilera et al. (2016) differentiation demonstrate engagement with the current state of the field.</w:t>
      </w:r>
    </w:p>
    <w:p>
      <w:pPr>
        <w:spacing w:after="120"/>
      </w:pPr>
      <w:r>
        <w:t xml:space="preserve">The main risk is that a Beer lab reviewer (very possible at this journal) may object that the paper overstates the novelty of measuring neural dependence on coupling, since ghost conditions have been used for this purpose since Di Paolo (2000). The paper’s defense — that standard ghost conditions have a logical issue that corrected conditions fix — is its strongest card, but the claim needs to be demonstrated more concretely (e.g., showing that standard conditions produce zero divergence on a specific example).</w:t>
      </w:r>
    </w:p>
    <w:p>
      <w:r>
        <w:br w:type="page"/>
      </w:r>
    </w:p>
    <w:p>
      <w:pPr>
        <w:pStyle w:val="Heading1"/>
        <w:spacing w:before="240" w:after="120"/>
      </w:pPr>
      <w:r>
        <w:rPr>
          <w:b/>
          <w:bCs/>
        </w:rPr>
        <w:t xml:space="preserve">Overall Assessment</w:t>
      </w:r>
    </w:p>
    <w:p>
      <w:pPr>
        <w:spacing w:after="120"/>
      </w:pPr>
      <w:r>
        <w:t xml:space="preserve">This is a strong paper with a clear contribution. The empirical design is solid, the analysis is multi-layered and honest about its limitations, and the philosophical framing is careful. The three critical issues (C1–C3) are all fixable in under an hour. The major issues (M1–M5) require more thought but none threatens the paper’s core claims.</w:t>
      </w:r>
    </w:p>
    <w:p>
      <w:pPr>
        <w:spacing w:after="120"/>
      </w:pPr>
      <w:r>
        <w:t xml:space="preserve">The paper’s greatest strength is the mechanistic pathway analysis: the chain from self-connection polarity through eigenvalue structure to input-sensitive attractor geometry is novel, empirically grounded, and genuinely illuminating. The variance-reduction finding (CV 84% → 43%) is arguably more robust than the correlation and could be foregrounded even more.</w:t>
      </w:r>
    </w:p>
    <w:p>
      <w:pPr>
        <w:spacing w:after="120"/>
      </w:pPr>
      <w:r>
        <w:t xml:space="preserve">The paper’s greatest vulnerability is the high stochasticity: 85% unexplained variance is substantial, and the Type C catch-all category weakens the classification scheme. A hostile reviewer could frame this as: “Network size barely matters; everything is dominated by the random seed.” The defense — that even 15% explained variance from a single architectural variable is noteworthy when the design space is high-dimensional — needs to be made explicitly and compellingly.</w:t>
      </w:r>
    </w:p>
    <w:p>
      <w:pPr>
        <w:spacing w:after="120"/>
      </w:pPr>
      <w:r>
        <w:rPr>
          <w:b/>
          <w:bCs/>
        </w:rPr>
        <w:t xml:space="preserve">Recommendation: </w:t>
      </w:r>
      <w:r>
        <w:t xml:space="preserve">Fix C1–C3 and M5 (these are quick). Strongly consider M1 (FDR table) and m4 (Seed 137 sensitivity). The remaining issues can be addressed at your judgment. The paper is close to submission-ready.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984"/>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B7B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2026-02-20T14:32:07.468Z</dcterms:created>
  <dcterms:modified xsi:type="dcterms:W3CDTF">2026-02-20T14:32:07.468Z</dcterms:modified>
</cp:coreProperties>
</file>

<file path=docProps/custom.xml><?xml version="1.0" encoding="utf-8"?>
<Properties xmlns="http://schemas.openxmlformats.org/officeDocument/2006/custom-properties" xmlns:vt="http://schemas.openxmlformats.org/officeDocument/2006/docPropsVTypes"/>
</file>