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DE48" w14:textId="77777777" w:rsidR="008144F3" w:rsidRDefault="008144F3">
      <w:pPr>
        <w:spacing w:after="600"/>
      </w:pPr>
    </w:p>
    <w:p w14:paraId="3793DE49" w14:textId="77777777" w:rsidR="008144F3" w:rsidRDefault="00000000">
      <w:pPr>
        <w:spacing w:after="200"/>
        <w:jc w:val="center"/>
      </w:pPr>
      <w:r>
        <w:t>COMPUTATIONAL COGNITIVE SCIENCE PAPER REVIEW</w:t>
      </w:r>
    </w:p>
    <w:p w14:paraId="3793DE4A" w14:textId="77777777" w:rsidR="008144F3" w:rsidRDefault="00000000">
      <w:pPr>
        <w:spacing w:after="600"/>
        <w:jc w:val="center"/>
      </w:pPr>
      <w:r>
        <w:t>Stage B: Polished Draft (Pre-Submission)</w:t>
      </w:r>
    </w:p>
    <w:p w14:paraId="3793DE4B" w14:textId="77777777" w:rsidR="008144F3" w:rsidRDefault="008144F3">
      <w:pPr>
        <w:spacing w:after="400"/>
      </w:pPr>
    </w:p>
    <w:p w14:paraId="3793DE4C" w14:textId="77777777" w:rsidR="008144F3" w:rsidRDefault="00000000">
      <w:pPr>
        <w:spacing w:after="150"/>
        <w:jc w:val="center"/>
      </w:pPr>
      <w:r>
        <w:t>Paper: When Does the Body Matter? Measuring Embodiment Dependence Across Network Capacity</w:t>
      </w:r>
    </w:p>
    <w:p w14:paraId="3793DE4D" w14:textId="77777777" w:rsidR="008144F3" w:rsidRDefault="00000000">
      <w:pPr>
        <w:spacing w:after="100"/>
        <w:jc w:val="center"/>
      </w:pPr>
      <w:r>
        <w:t>Draft Version: v0.7</w:t>
      </w:r>
    </w:p>
    <w:p w14:paraId="3793DE4E" w14:textId="77777777" w:rsidR="008144F3" w:rsidRDefault="00000000">
      <w:pPr>
        <w:spacing w:after="100"/>
        <w:jc w:val="center"/>
      </w:pPr>
      <w:r>
        <w:t>Target Venue: Adaptive Behavior (SAB 2026 → journal extension)</w:t>
      </w:r>
    </w:p>
    <w:p w14:paraId="3793DE4F" w14:textId="77777777" w:rsidR="008144F3" w:rsidRDefault="00000000">
      <w:pPr>
        <w:spacing w:after="100"/>
        <w:jc w:val="center"/>
      </w:pPr>
      <w:r>
        <w:t>Contribution Type: Type A (New Empirical Finding) + Type B (Methodological Correction) + Type C (Mechanistic Classification)</w:t>
      </w:r>
    </w:p>
    <w:p w14:paraId="3793DE50" w14:textId="77777777" w:rsidR="008144F3" w:rsidRDefault="00000000">
      <w:pPr>
        <w:spacing w:after="600"/>
        <w:jc w:val="center"/>
      </w:pPr>
      <w:r>
        <w:t>Review Date: February 2026</w:t>
      </w:r>
    </w:p>
    <w:p w14:paraId="3793DE51" w14:textId="77777777" w:rsidR="008144F3" w:rsidRDefault="00000000">
      <w:r>
        <w:br w:type="page"/>
      </w:r>
    </w:p>
    <w:p w14:paraId="3793DE52" w14:textId="77777777" w:rsidR="008144F3" w:rsidRDefault="00000000">
      <w:pPr>
        <w:pStyle w:val="Heading1"/>
        <w:pBdr>
          <w:bottom w:val="single" w:sz="12" w:space="1" w:color="000000"/>
        </w:pBdr>
        <w:spacing w:before="400" w:after="200"/>
      </w:pPr>
      <w:r>
        <w:lastRenderedPageBreak/>
        <w:t>SECTION 1: GRADING SUMMARY</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2191"/>
        <w:gridCol w:w="1095"/>
        <w:gridCol w:w="876"/>
        <w:gridCol w:w="4862"/>
      </w:tblGrid>
      <w:tr w:rsidR="008144F3" w14:paraId="3793DE57" w14:textId="77777777">
        <w:tblPrEx>
          <w:tblCellMar>
            <w:top w:w="0" w:type="dxa"/>
            <w:bottom w:w="0" w:type="dxa"/>
          </w:tblCellMar>
        </w:tblPrEx>
        <w:trPr>
          <w:trHeight w:val="400"/>
          <w:tblHeader/>
        </w:trPr>
        <w:tc>
          <w:tcPr>
            <w:tcW w:w="2000" w:type="dxa"/>
            <w:shd w:val="clear" w:color="auto" w:fill="D5E8F0"/>
            <w:tcMar>
              <w:top w:w="100" w:type="dxa"/>
              <w:left w:w="100" w:type="dxa"/>
              <w:bottom w:w="100" w:type="dxa"/>
              <w:right w:w="100" w:type="dxa"/>
            </w:tcMar>
          </w:tcPr>
          <w:p w14:paraId="3793DE53" w14:textId="77777777" w:rsidR="008144F3" w:rsidRDefault="00000000">
            <w:r>
              <w:t>Dimension</w:t>
            </w:r>
          </w:p>
        </w:tc>
        <w:tc>
          <w:tcPr>
            <w:tcW w:w="1000" w:type="dxa"/>
            <w:shd w:val="clear" w:color="auto" w:fill="D5E8F0"/>
            <w:tcMar>
              <w:top w:w="100" w:type="dxa"/>
              <w:left w:w="100" w:type="dxa"/>
              <w:bottom w:w="100" w:type="dxa"/>
              <w:right w:w="100" w:type="dxa"/>
            </w:tcMar>
          </w:tcPr>
          <w:p w14:paraId="3793DE54" w14:textId="77777777" w:rsidR="008144F3" w:rsidRDefault="00000000">
            <w:r>
              <w:t>Weight</w:t>
            </w:r>
          </w:p>
        </w:tc>
        <w:tc>
          <w:tcPr>
            <w:tcW w:w="800" w:type="dxa"/>
            <w:shd w:val="clear" w:color="auto" w:fill="D5E8F0"/>
            <w:tcMar>
              <w:top w:w="100" w:type="dxa"/>
              <w:left w:w="100" w:type="dxa"/>
              <w:bottom w:w="100" w:type="dxa"/>
              <w:right w:w="100" w:type="dxa"/>
            </w:tcMar>
          </w:tcPr>
          <w:p w14:paraId="3793DE55" w14:textId="77777777" w:rsidR="008144F3" w:rsidRDefault="00000000">
            <w:r>
              <w:t>Grade</w:t>
            </w:r>
          </w:p>
        </w:tc>
        <w:tc>
          <w:tcPr>
            <w:tcW w:w="4440" w:type="dxa"/>
            <w:shd w:val="clear" w:color="auto" w:fill="D5E8F0"/>
            <w:tcMar>
              <w:top w:w="100" w:type="dxa"/>
              <w:left w:w="100" w:type="dxa"/>
              <w:bottom w:w="100" w:type="dxa"/>
              <w:right w:w="100" w:type="dxa"/>
            </w:tcMar>
          </w:tcPr>
          <w:p w14:paraId="3793DE56" w14:textId="77777777" w:rsidR="008144F3" w:rsidRDefault="00000000">
            <w:r>
              <w:t>Key Issues</w:t>
            </w:r>
          </w:p>
        </w:tc>
      </w:tr>
      <w:tr w:rsidR="008144F3" w14:paraId="3793DE5C" w14:textId="77777777">
        <w:tblPrEx>
          <w:tblCellMar>
            <w:top w:w="0" w:type="dxa"/>
            <w:bottom w:w="0" w:type="dxa"/>
          </w:tblCellMar>
        </w:tblPrEx>
        <w:trPr>
          <w:trHeight w:val="600"/>
        </w:trPr>
        <w:tc>
          <w:tcPr>
            <w:tcW w:w="2000" w:type="dxa"/>
            <w:tcMar>
              <w:top w:w="100" w:type="dxa"/>
              <w:left w:w="100" w:type="dxa"/>
              <w:bottom w:w="100" w:type="dxa"/>
              <w:right w:w="100" w:type="dxa"/>
            </w:tcMar>
          </w:tcPr>
          <w:p w14:paraId="3793DE58" w14:textId="77777777" w:rsidR="008144F3" w:rsidRDefault="00000000">
            <w:r>
              <w:t>Computational Methodology</w:t>
            </w:r>
          </w:p>
        </w:tc>
        <w:tc>
          <w:tcPr>
            <w:tcW w:w="1000" w:type="dxa"/>
            <w:tcMar>
              <w:top w:w="100" w:type="dxa"/>
              <w:left w:w="100" w:type="dxa"/>
              <w:bottom w:w="100" w:type="dxa"/>
              <w:right w:w="100" w:type="dxa"/>
            </w:tcMar>
          </w:tcPr>
          <w:p w14:paraId="3793DE59" w14:textId="77777777" w:rsidR="008144F3" w:rsidRDefault="00000000">
            <w:r>
              <w:t>30%</w:t>
            </w:r>
          </w:p>
        </w:tc>
        <w:tc>
          <w:tcPr>
            <w:tcW w:w="800" w:type="dxa"/>
            <w:tcMar>
              <w:top w:w="100" w:type="dxa"/>
              <w:left w:w="100" w:type="dxa"/>
              <w:bottom w:w="100" w:type="dxa"/>
              <w:right w:w="100" w:type="dxa"/>
            </w:tcMar>
          </w:tcPr>
          <w:p w14:paraId="3793DE5A" w14:textId="77777777" w:rsidR="008144F3" w:rsidRDefault="00000000">
            <w:r>
              <w:t>B+</w:t>
            </w:r>
          </w:p>
        </w:tc>
        <w:tc>
          <w:tcPr>
            <w:tcW w:w="4440" w:type="dxa"/>
            <w:tcMar>
              <w:top w:w="100" w:type="dxa"/>
              <w:left w:w="100" w:type="dxa"/>
              <w:bottom w:w="100" w:type="dxa"/>
              <w:right w:w="100" w:type="dxa"/>
            </w:tcMar>
          </w:tcPr>
          <w:p w14:paraId="3793DE5B" w14:textId="77777777" w:rsidR="008144F3" w:rsidRDefault="00000000">
            <w:r>
              <w:t>Solid 60-condition design with good seed variation. Ghost condition correction is genuine and consequential. However, attractor analysis covers only 42/60 conditions (70%). Single task (phototaxis) and single EA (</w:t>
            </w:r>
            <w:proofErr w:type="spellStart"/>
            <w:r>
              <w:t>MicrobialGA</w:t>
            </w:r>
            <w:proofErr w:type="spellEnd"/>
            <w:r>
              <w:t>) limit generalizability claims. Replication detail is strong.</w:t>
            </w:r>
          </w:p>
        </w:tc>
      </w:tr>
      <w:tr w:rsidR="008144F3" w14:paraId="3793DE61" w14:textId="77777777">
        <w:tblPrEx>
          <w:tblCellMar>
            <w:top w:w="0" w:type="dxa"/>
            <w:bottom w:w="0" w:type="dxa"/>
          </w:tblCellMar>
        </w:tblPrEx>
        <w:trPr>
          <w:trHeight w:val="600"/>
        </w:trPr>
        <w:tc>
          <w:tcPr>
            <w:tcW w:w="2000" w:type="dxa"/>
            <w:tcMar>
              <w:top w:w="100" w:type="dxa"/>
              <w:left w:w="100" w:type="dxa"/>
              <w:bottom w:w="100" w:type="dxa"/>
              <w:right w:w="100" w:type="dxa"/>
            </w:tcMar>
          </w:tcPr>
          <w:p w14:paraId="3793DE5D" w14:textId="77777777" w:rsidR="008144F3" w:rsidRDefault="00000000">
            <w:r>
              <w:t>Dynamical Systems Analysis</w:t>
            </w:r>
          </w:p>
        </w:tc>
        <w:tc>
          <w:tcPr>
            <w:tcW w:w="1000" w:type="dxa"/>
            <w:tcMar>
              <w:top w:w="100" w:type="dxa"/>
              <w:left w:w="100" w:type="dxa"/>
              <w:bottom w:w="100" w:type="dxa"/>
              <w:right w:w="100" w:type="dxa"/>
            </w:tcMar>
          </w:tcPr>
          <w:p w14:paraId="3793DE5E" w14:textId="77777777" w:rsidR="008144F3" w:rsidRDefault="00000000">
            <w:r>
              <w:t>25%</w:t>
            </w:r>
          </w:p>
        </w:tc>
        <w:tc>
          <w:tcPr>
            <w:tcW w:w="800" w:type="dxa"/>
            <w:tcMar>
              <w:top w:w="100" w:type="dxa"/>
              <w:left w:w="100" w:type="dxa"/>
              <w:bottom w:w="100" w:type="dxa"/>
              <w:right w:w="100" w:type="dxa"/>
            </w:tcMar>
          </w:tcPr>
          <w:p w14:paraId="3793DE5F" w14:textId="77777777" w:rsidR="008144F3" w:rsidRDefault="00000000">
            <w:r>
              <w:t>A-</w:t>
            </w:r>
          </w:p>
        </w:tc>
        <w:tc>
          <w:tcPr>
            <w:tcW w:w="4440" w:type="dxa"/>
            <w:tcMar>
              <w:top w:w="100" w:type="dxa"/>
              <w:left w:w="100" w:type="dxa"/>
              <w:bottom w:w="100" w:type="dxa"/>
              <w:right w:w="100" w:type="dxa"/>
            </w:tcMar>
          </w:tcPr>
          <w:p w14:paraId="3793DE60" w14:textId="77777777" w:rsidR="008144F3" w:rsidRDefault="00000000">
            <w:r>
              <w:t>Multi-level mechanistic account (weight → spectral → attractor) is the paper's greatest strength. Input sensitivity as strongest predictor is a genuine finding. Fixed-point classification is acknowledged as coarse. Bifurcation types not identified by standard classification (saddle-node, Hopf, etc.). Partial correlation chain is appropriately hedged.</w:t>
            </w:r>
          </w:p>
        </w:tc>
      </w:tr>
      <w:tr w:rsidR="008144F3" w14:paraId="3793DE66" w14:textId="77777777">
        <w:tblPrEx>
          <w:tblCellMar>
            <w:top w:w="0" w:type="dxa"/>
            <w:bottom w:w="0" w:type="dxa"/>
          </w:tblCellMar>
        </w:tblPrEx>
        <w:trPr>
          <w:trHeight w:val="700"/>
        </w:trPr>
        <w:tc>
          <w:tcPr>
            <w:tcW w:w="2000" w:type="dxa"/>
            <w:tcMar>
              <w:top w:w="100" w:type="dxa"/>
              <w:left w:w="100" w:type="dxa"/>
              <w:bottom w:w="100" w:type="dxa"/>
              <w:right w:w="100" w:type="dxa"/>
            </w:tcMar>
          </w:tcPr>
          <w:p w14:paraId="3793DE62" w14:textId="77777777" w:rsidR="008144F3" w:rsidRDefault="00000000">
            <w:r>
              <w:t>Statistical Inference</w:t>
            </w:r>
          </w:p>
        </w:tc>
        <w:tc>
          <w:tcPr>
            <w:tcW w:w="1000" w:type="dxa"/>
            <w:tcMar>
              <w:top w:w="100" w:type="dxa"/>
              <w:left w:w="100" w:type="dxa"/>
              <w:bottom w:w="100" w:type="dxa"/>
              <w:right w:w="100" w:type="dxa"/>
            </w:tcMar>
          </w:tcPr>
          <w:p w14:paraId="3793DE63" w14:textId="77777777" w:rsidR="008144F3" w:rsidRDefault="00000000">
            <w:r>
              <w:t>20%</w:t>
            </w:r>
          </w:p>
        </w:tc>
        <w:tc>
          <w:tcPr>
            <w:tcW w:w="800" w:type="dxa"/>
            <w:tcMar>
              <w:top w:w="100" w:type="dxa"/>
              <w:left w:w="100" w:type="dxa"/>
              <w:bottom w:w="100" w:type="dxa"/>
              <w:right w:w="100" w:type="dxa"/>
            </w:tcMar>
          </w:tcPr>
          <w:p w14:paraId="3793DE64" w14:textId="77777777" w:rsidR="008144F3" w:rsidRDefault="00000000">
            <w:r>
              <w:t>B</w:t>
            </w:r>
          </w:p>
        </w:tc>
        <w:tc>
          <w:tcPr>
            <w:tcW w:w="4440" w:type="dxa"/>
            <w:tcMar>
              <w:top w:w="100" w:type="dxa"/>
              <w:left w:w="100" w:type="dxa"/>
              <w:bottom w:w="100" w:type="dxa"/>
              <w:right w:w="100" w:type="dxa"/>
            </w:tcMar>
          </w:tcPr>
          <w:p w14:paraId="3793DE65" w14:textId="77777777" w:rsidR="008144F3" w:rsidRDefault="00000000">
            <w:r>
              <w:t>Spearman/Pearson choices appropriate. Bootstrap CIs reported for main correlation. Effect sizes (Cohen's d) reported for group comparisons. However: no formal multiple comparison correction documented in v0.7 (the LaTeX version adds BH-FDR; this should be in the main text from the start). No power analysis. Partial correlation caveats acknowledged but measurement error in controls not explicitly addressed per Westfall &amp; Yarkoni (2016). Variance decomposition uses R² rather than adjusted R² or Shapley-Owen values.</w:t>
            </w:r>
          </w:p>
        </w:tc>
      </w:tr>
      <w:tr w:rsidR="008144F3" w14:paraId="3793DE6B" w14:textId="77777777">
        <w:tblPrEx>
          <w:tblCellMar>
            <w:top w:w="0" w:type="dxa"/>
            <w:bottom w:w="0" w:type="dxa"/>
          </w:tblCellMar>
        </w:tblPrEx>
        <w:trPr>
          <w:trHeight w:val="700"/>
        </w:trPr>
        <w:tc>
          <w:tcPr>
            <w:tcW w:w="2000" w:type="dxa"/>
            <w:tcMar>
              <w:top w:w="100" w:type="dxa"/>
              <w:left w:w="100" w:type="dxa"/>
              <w:bottom w:w="100" w:type="dxa"/>
              <w:right w:w="100" w:type="dxa"/>
            </w:tcMar>
          </w:tcPr>
          <w:p w14:paraId="3793DE67" w14:textId="77777777" w:rsidR="008144F3" w:rsidRDefault="00000000">
            <w:r>
              <w:t>Philosophical Framing &amp; Integration</w:t>
            </w:r>
          </w:p>
        </w:tc>
        <w:tc>
          <w:tcPr>
            <w:tcW w:w="1000" w:type="dxa"/>
            <w:tcMar>
              <w:top w:w="100" w:type="dxa"/>
              <w:left w:w="100" w:type="dxa"/>
              <w:bottom w:w="100" w:type="dxa"/>
              <w:right w:w="100" w:type="dxa"/>
            </w:tcMar>
          </w:tcPr>
          <w:p w14:paraId="3793DE68" w14:textId="77777777" w:rsidR="008144F3" w:rsidRDefault="00000000">
            <w:r>
              <w:t>25%</w:t>
            </w:r>
          </w:p>
        </w:tc>
        <w:tc>
          <w:tcPr>
            <w:tcW w:w="800" w:type="dxa"/>
            <w:tcMar>
              <w:top w:w="100" w:type="dxa"/>
              <w:left w:w="100" w:type="dxa"/>
              <w:bottom w:w="100" w:type="dxa"/>
              <w:right w:w="100" w:type="dxa"/>
            </w:tcMar>
          </w:tcPr>
          <w:p w14:paraId="3793DE69" w14:textId="77777777" w:rsidR="008144F3" w:rsidRDefault="00000000">
            <w:r>
              <w:t>A-</w:t>
            </w:r>
          </w:p>
        </w:tc>
        <w:tc>
          <w:tcPr>
            <w:tcW w:w="4440" w:type="dxa"/>
            <w:tcMar>
              <w:top w:w="100" w:type="dxa"/>
              <w:left w:w="100" w:type="dxa"/>
              <w:bottom w:w="100" w:type="dxa"/>
              <w:right w:w="100" w:type="dxa"/>
            </w:tcMar>
          </w:tcPr>
          <w:p w14:paraId="3793DE6A" w14:textId="77777777" w:rsidR="008144F3" w:rsidRDefault="00000000">
            <w:r>
              <w:t>Exemplary separation of embodiment dependence from constitutive embodiment. Careful hedging throughout. Active inference connection (Section 5.2) is well-handled—suggestive rather than demonstrative, with specific testable predictions. The mutual indispensability test is passed: the philosophical framing motivates the specific ghost condition design, and the computational results (especially the Type A/B distinction) genuinely reshape understanding of the constitutive/causal landscape.</w:t>
            </w:r>
          </w:p>
        </w:tc>
      </w:tr>
    </w:tbl>
    <w:p w14:paraId="3793DE6C" w14:textId="77777777" w:rsidR="008144F3" w:rsidRDefault="008144F3">
      <w:pPr>
        <w:spacing w:after="300"/>
      </w:pPr>
    </w:p>
    <w:p w14:paraId="3793DE6D" w14:textId="77777777" w:rsidR="008144F3" w:rsidRDefault="00000000">
      <w:pPr>
        <w:spacing w:after="200"/>
      </w:pPr>
      <w:r>
        <w:t>Mutual Indispensability Test: PASS</w:t>
      </w:r>
    </w:p>
    <w:p w14:paraId="3793DE6E" w14:textId="77777777" w:rsidR="008144F3" w:rsidRDefault="00000000">
      <w:pPr>
        <w:spacing w:after="200" w:line="360" w:lineRule="auto"/>
        <w:jc w:val="both"/>
      </w:pPr>
      <w:r>
        <w:t>The philosophical framework (Woodwardian interventionism, constitutive/causal distinction) directly motivates the computational design choices (corrected ghost conditions, multiple intervention types). The computational results (mechanistic type classification, input sensitivity as strongest predictor) genuinely advance philosophical understanding by showing that the constitutive/causal question may be less binary than assumed—embodiment dependence varies continuously and is determined by identifiable dynamical properties.</w:t>
      </w:r>
    </w:p>
    <w:p w14:paraId="3793DE6F" w14:textId="77777777" w:rsidR="008144F3" w:rsidRDefault="00000000">
      <w:r>
        <w:br w:type="page"/>
      </w:r>
    </w:p>
    <w:p w14:paraId="3793DE70" w14:textId="77777777" w:rsidR="008144F3" w:rsidRDefault="00000000">
      <w:pPr>
        <w:pStyle w:val="Heading1"/>
        <w:pBdr>
          <w:bottom w:val="single" w:sz="12" w:space="1" w:color="000000"/>
        </w:pBdr>
        <w:spacing w:before="400" w:after="200"/>
      </w:pPr>
      <w:r>
        <w:lastRenderedPageBreak/>
        <w:t>SECTION 2: CORE CLAIM RECONSTRUCTION</w:t>
      </w:r>
    </w:p>
    <w:p w14:paraId="3793DE71" w14:textId="77777777" w:rsidR="008144F3" w:rsidRDefault="00000000">
      <w:pPr>
        <w:spacing w:after="200" w:line="360" w:lineRule="auto"/>
        <w:jc w:val="both"/>
      </w:pPr>
      <w:r>
        <w:t>"By evolving 60 CTRNN controllers across 6 network sizes and measuring neural state divergence under corrected ghost conditions, we show that computational capacity increases the probability of high embodiment dependence (ρ=0.39, p=0.002) via a mechanistic pathway from positive self-connections through high eigenvalues to input-sensitive attractor landscapes, which bears on the constitutive/causal embodiment debate because it establishes empirically tractable conditions under which neural dynamics become coupling-dependent, without claiming to settle the metaphysical question."</w:t>
      </w:r>
    </w:p>
    <w:p w14:paraId="3793DE72" w14:textId="77777777" w:rsidR="008144F3" w:rsidRDefault="00000000">
      <w:r>
        <w:br w:type="page"/>
      </w:r>
    </w:p>
    <w:p w14:paraId="3793DE73" w14:textId="77777777" w:rsidR="008144F3" w:rsidRDefault="00000000">
      <w:pPr>
        <w:pStyle w:val="Heading1"/>
        <w:pBdr>
          <w:bottom w:val="single" w:sz="12" w:space="1" w:color="000000"/>
        </w:pBdr>
        <w:spacing w:before="400" w:after="200"/>
      </w:pPr>
      <w:r>
        <w:lastRenderedPageBreak/>
        <w:t>SECTION 3: MULTIDISCIPLINARY REFEREE REPORTS</w:t>
      </w:r>
    </w:p>
    <w:p w14:paraId="3793DE74" w14:textId="77777777" w:rsidR="008144F3" w:rsidRDefault="00000000">
      <w:pPr>
        <w:pStyle w:val="Heading2"/>
        <w:spacing w:before="300" w:after="150"/>
      </w:pPr>
      <w:r>
        <w:t>Referee 1: Evolutionary Roboticist + Enthusiast</w:t>
      </w:r>
    </w:p>
    <w:p w14:paraId="3793DE75" w14:textId="77777777" w:rsidR="008144F3" w:rsidRDefault="00000000">
      <w:pPr>
        <w:spacing w:after="200" w:line="360" w:lineRule="auto"/>
        <w:jc w:val="both"/>
      </w:pPr>
      <w:r>
        <w:t>This is a well-designed computational study in the Beer/Di Paolo tradition with several genuine methodological advances. The 60-condition design (6 sizes × 10 seeds) is substantially more thorough than typical evolutionary robotics studies, and the Section 4.3 analysis of 3-seed vs. 10-seed disparity is a valuable methodological lesson the field needs. The ghost condition correction is real and consequential—standard sensory replay to deterministic networks from identical initial states does guarantee zero divergence, and the corrected conditions are well-motivated.</w:t>
      </w:r>
    </w:p>
    <w:p w14:paraId="3793DE76" w14:textId="77777777" w:rsidR="008144F3" w:rsidRDefault="00000000">
      <w:pPr>
        <w:spacing w:after="200" w:line="360" w:lineRule="auto"/>
        <w:jc w:val="both"/>
      </w:pPr>
      <w:r>
        <w:t xml:space="preserve">Concerns: (1) The </w:t>
      </w:r>
      <w:proofErr w:type="spellStart"/>
      <w:r>
        <w:t>MicrobialGA</w:t>
      </w:r>
      <w:proofErr w:type="spellEnd"/>
      <w:r>
        <w:t xml:space="preserve"> is a minimal EA. While this is appropriate for the Beer tradition, it limits the generalizability claim. At minimum, the paper should acknowledge that different EAs (e.g., CMA-ES, NEAT) might discover different solution distributions, potentially altering the capacity-dependence relationship. (2) The phototaxis task is simple. The paper acknowledges this (Section 5.6) but should say more about why the findings should generalize to richer sensorimotor tasks. Beer's own work on categorical perception (Beer 2003) showed qualitatively different dynamics for more complex tasks. (3) The 42/60 subsample for weight and attractor analysis is a limitation. The missing 18 conditions are precisely the original 3-seed runs that Section 4.3 shows were biased. This creates a subtle selection issue: the subsample excludes the conditions most likely to show outlier behavior.</w:t>
      </w:r>
    </w:p>
    <w:p w14:paraId="3793DE77" w14:textId="77777777" w:rsidR="008144F3" w:rsidRDefault="00000000">
      <w:pPr>
        <w:pStyle w:val="Heading2"/>
        <w:spacing w:before="300" w:after="150"/>
      </w:pPr>
      <w:r>
        <w:t>Referee 2: Philosopher of Cognitive Science + Skeptic</w:t>
      </w:r>
    </w:p>
    <w:p w14:paraId="3793DE78" w14:textId="77777777" w:rsidR="008144F3" w:rsidRDefault="00000000">
      <w:pPr>
        <w:spacing w:after="200" w:line="360" w:lineRule="auto"/>
        <w:jc w:val="both"/>
      </w:pPr>
      <w:r>
        <w:t>The paper's philosophical contribution is more careful than most computational studies I review. The explicit separation of embodiment dependence from constitutive embodiment (Section 2.2) is exactly right, and the acknowledgment that Adams &amp; Aizawa and Di Paolo could both accept the findings (Section 5.4) shows genuine philosophical sophistication. The active inference engagement (Section 5.2) is appropriately cautious—suggestive rather than demonstrative—with specific testable predictions.</w:t>
      </w:r>
    </w:p>
    <w:p w14:paraId="3793DE79" w14:textId="77777777" w:rsidR="008144F3" w:rsidRDefault="00000000">
      <w:pPr>
        <w:spacing w:after="200" w:line="360" w:lineRule="auto"/>
        <w:jc w:val="both"/>
      </w:pPr>
      <w:r>
        <w:t xml:space="preserve">Concerns: (1) The paper's strongest philosophical claim—that it operationalizes the constitutive/causal distinction—is also its most vulnerable. What the paper </w:t>
      </w:r>
      <w:proofErr w:type="gramStart"/>
      <w:r>
        <w:t>actually operationalizes</w:t>
      </w:r>
      <w:proofErr w:type="gramEnd"/>
      <w:r>
        <w:t xml:space="preserve"> is sensory dependence of neural dynamics, which is conceptually closer to what Adams &amp; Aizawa would call "causal dependence on input" than what Di Paolo means by "constitutive embodiment." The paper knows this (Section 2.2) but could be more explicit about the gap. The risk is that philosophers read the paper as claiming to have operationalized something it hasn't. (2) The Woodwardian framework adaptation (Section 2.3) needs more work. Woodward's interventionism assumes stable causal structures; the paper acknowledges that evolutionary systems are path-dependent but doesn't fully work through the implications. In particular: if each evolutionary trajectory produces a different causal structure, what generalizations can we draw? The paper's own data (85% unexplained variance) suggests the answer is "limited ones." (3) The connection to Potochnik's causal patterns (Section 5.3) is good but underdeveloped. The two patterns identified (neural stability vs. neural coupling) could be developed further as the paper's primary philosophical contribution—this is where the computational results most clearly reshape philosophical understanding.</w:t>
      </w:r>
    </w:p>
    <w:p w14:paraId="3793DE7A" w14:textId="77777777" w:rsidR="008144F3" w:rsidRDefault="00000000">
      <w:pPr>
        <w:pStyle w:val="Heading2"/>
        <w:spacing w:before="300" w:after="150"/>
      </w:pPr>
      <w:r>
        <w:t>Referee 3: Dynamical Systems Theorist + Technician</w:t>
      </w:r>
    </w:p>
    <w:p w14:paraId="3793DE7B" w14:textId="77777777" w:rsidR="008144F3" w:rsidRDefault="00000000">
      <w:pPr>
        <w:spacing w:after="200" w:line="360" w:lineRule="auto"/>
        <w:jc w:val="both"/>
      </w:pPr>
      <w:r>
        <w:lastRenderedPageBreak/>
        <w:t>The dynamical analysis is multi-layered and generally well-executed. The input sensitivity measure is a genuine contribution—it captures something that standard Lyapunov or participation ratio measures miss. The partial correlation chain (Section 4.8.4) is appropriately hedged.</w:t>
      </w:r>
    </w:p>
    <w:p w14:paraId="3793DE7C" w14:textId="77777777" w:rsidR="008144F3" w:rsidRDefault="00000000">
      <w:pPr>
        <w:spacing w:after="200" w:line="360" w:lineRule="auto"/>
        <w:jc w:val="both"/>
      </w:pPr>
      <w:r>
        <w:t xml:space="preserve">Concerns: (1) The bifurcation analysis (Section 4.8.2) counts bifurcations but does not classify them by type (saddle-node, Hopf, pitchfork, etc.). Different bifurcation types have different dynamical consequences, and this classification would substantially strengthen the mechanistic account. (2) The fixed-point finding method (Section 3.8) uses </w:t>
      </w:r>
      <w:proofErr w:type="spellStart"/>
      <w:proofErr w:type="gramStart"/>
      <w:r>
        <w:t>scipy.optimize</w:t>
      </w:r>
      <w:proofErr w:type="gramEnd"/>
      <w:r>
        <w:t>.fsolve</w:t>
      </w:r>
      <w:proofErr w:type="spellEnd"/>
      <w:r>
        <w:t xml:space="preserve"> from 15 random initial conditions per amplitude. This is likely insufficient for networks with n=6-8, where the number of fixed points can grow exponentially. The paper should either justify this number or use continuation methods. (3) The attractor classification (fixed point / limit cycle / chaotic) is coarse. The paper acknowledges this but should note specific alternatives: recurrence quantification analysis would distinguish quasi-periodic from chaotic dynamics; persistent homology would capture topological features of attractor structure. (4) The Lyapunov exponent computation methodology is not specified. For CTRNNs, the standard method involves the variational equations; was this used, or was a perturbation-based estimate employed? The distinction matters for the chaotic classification.</w:t>
      </w:r>
    </w:p>
    <w:p w14:paraId="3793DE7D" w14:textId="77777777" w:rsidR="008144F3" w:rsidRDefault="00000000">
      <w:r>
        <w:br w:type="page"/>
      </w:r>
    </w:p>
    <w:p w14:paraId="3793DE7E" w14:textId="77777777" w:rsidR="008144F3" w:rsidRDefault="00000000">
      <w:pPr>
        <w:pStyle w:val="Heading1"/>
        <w:pBdr>
          <w:bottom w:val="single" w:sz="12" w:space="1" w:color="000000"/>
        </w:pBdr>
        <w:spacing w:before="400" w:after="200"/>
      </w:pPr>
      <w:r>
        <w:lastRenderedPageBreak/>
        <w:t>SECTION 4: OBJECTION SEVERITY RANKING</w:t>
      </w:r>
    </w:p>
    <w:p w14:paraId="3793DE7F" w14:textId="77777777" w:rsidR="008144F3" w:rsidRDefault="00000000">
      <w:pPr>
        <w:pStyle w:val="Heading2"/>
        <w:spacing w:before="300" w:after="150"/>
      </w:pPr>
      <w:r>
        <w:t>Fatal Objections: None identified.</w:t>
      </w:r>
    </w:p>
    <w:p w14:paraId="3793DE80" w14:textId="77777777" w:rsidR="008144F3" w:rsidRDefault="00000000">
      <w:pPr>
        <w:spacing w:after="200" w:line="360" w:lineRule="auto"/>
        <w:jc w:val="both"/>
      </w:pPr>
      <w:r>
        <w:t xml:space="preserve">The paper's design is fundamentally </w:t>
      </w:r>
      <w:proofErr w:type="gramStart"/>
      <w:r>
        <w:t>sound</w:t>
      </w:r>
      <w:proofErr w:type="gramEnd"/>
      <w:r>
        <w:t xml:space="preserve"> and its claims are appropriately hedged.</w:t>
      </w:r>
    </w:p>
    <w:p w14:paraId="3793DE81" w14:textId="77777777" w:rsidR="008144F3" w:rsidRDefault="00000000">
      <w:pPr>
        <w:pStyle w:val="Heading2"/>
        <w:spacing w:before="300" w:after="150"/>
      </w:pPr>
      <w:r>
        <w:t>Serious Objections (must address before submission):</w:t>
      </w:r>
    </w:p>
    <w:p w14:paraId="3793DE82" w14:textId="77777777" w:rsidR="008144F3" w:rsidRDefault="00000000">
      <w:pPr>
        <w:spacing w:before="100" w:after="200" w:line="360" w:lineRule="auto"/>
      </w:pPr>
      <w:r>
        <w:t>1. Missing multiple comparison correction in main text (Statistical, Type S). The v0.7 markdown draft reports 26+ statistical tests without formal correction. The LaTeX version adds BH-FDR, but this should be present from the outset and reported prominently. At minimum: report the total number of tests, state the correction method, and indicate which findings survive correction. Priority: HIGH.</w:t>
      </w:r>
    </w:p>
    <w:p w14:paraId="3793DE83" w14:textId="77777777" w:rsidR="008144F3" w:rsidRDefault="00000000">
      <w:pPr>
        <w:spacing w:before="100" w:after="200" w:line="360" w:lineRule="auto"/>
      </w:pPr>
      <w:r>
        <w:t xml:space="preserve">2. Bifurcation type classification absent (Dynamical, Type M). Counting bifurcations without classifying them weakens the mechanistic account. If high-ED solutions undergo Hopf bifurcations (producing limit cycles) while low-ED solutions undergo saddle-node bifurcations (producing </w:t>
      </w:r>
      <w:proofErr w:type="spellStart"/>
      <w:r>
        <w:t>bistability</w:t>
      </w:r>
      <w:proofErr w:type="spellEnd"/>
      <w:r>
        <w:t>), that's a qualitatively different mechanistic story than if all bifurcations are of the same type. Priority: MEDIUM-HIGH.</w:t>
      </w:r>
    </w:p>
    <w:p w14:paraId="3793DE84" w14:textId="77777777" w:rsidR="008144F3" w:rsidRDefault="00000000">
      <w:pPr>
        <w:spacing w:before="100" w:after="200" w:line="360" w:lineRule="auto"/>
      </w:pPr>
      <w:r>
        <w:t>3. 42/60 subsample selection issue (Statistical, Type S). The missing 18 conditions are the original 3-seed runs, which Section 4.3 shows were biased (overestimating the effect by ~24%). The attractor and weight analyses that form the paper's strongest mechanistic findings are conducted on a subsample that excludes conditions most likely to show different patterns. The paper should either: (a) reconstruct genotypes for the missing 18, (b) explicitly test whether the 42-condition subsample is representative of the full 60, or (c) more prominently caveat the subsample findings. Priority: MEDIUM-HIGH.</w:t>
      </w:r>
    </w:p>
    <w:p w14:paraId="3793DE85" w14:textId="77777777" w:rsidR="008144F3" w:rsidRDefault="00000000">
      <w:pPr>
        <w:spacing w:before="100" w:after="200" w:line="360" w:lineRule="auto"/>
      </w:pPr>
      <w:r>
        <w:t>4. Lyapunov exponent methodology unspecified (Dynamical, Type M). The paper classifies some solutions as "chaotic" based partly on Lyapunov exponents but doesn't specify the computation method. For CTRNNs, this is non-trivial—the variational equation approach and the perturbation-based approach can give different results for small networks. Priority: MEDIUM.</w:t>
      </w:r>
    </w:p>
    <w:p w14:paraId="3793DE86" w14:textId="77777777" w:rsidR="008144F3" w:rsidRDefault="00000000">
      <w:pPr>
        <w:spacing w:before="100" w:after="200" w:line="360" w:lineRule="auto"/>
      </w:pPr>
      <w:r>
        <w:t>5. Partial correlation measurement error caveat (Statistical, Type M). Westfall &amp; Yarkoni (2016) show that measurement error in the control variable inflates the apparent mediation effect. The partial correlation analysis (Section 4.8.4) claims eigenvalue structure "accounts for roughly half" of the self-connection → ED relationship, but if eigenvalue structure is measured with error (which it is—it's a summary statistic of a high-dimensional weight matrix), the true mediation effect could be smaller. The paper should cite Westfall &amp; Yarkoni and acknowledge this. Priority: MEDIUM.</w:t>
      </w:r>
    </w:p>
    <w:p w14:paraId="3793DE87" w14:textId="77777777" w:rsidR="008144F3" w:rsidRDefault="00000000">
      <w:pPr>
        <w:pStyle w:val="Heading2"/>
        <w:spacing w:before="300" w:after="150"/>
      </w:pPr>
      <w:r>
        <w:t>Minor Objections:</w:t>
      </w:r>
    </w:p>
    <w:p w14:paraId="3793DE88" w14:textId="77777777" w:rsidR="008144F3" w:rsidRDefault="00000000">
      <w:pPr>
        <w:spacing w:before="100" w:after="200" w:line="360" w:lineRule="auto"/>
      </w:pPr>
      <w:r>
        <w:t>1. Computational capacity operationalization (Philosophical, Type C). Network size n is a coarse proxy for computational capacity. The paper acknowledges this (Section 3.5) but could strengthen the justification by citing relevant complexity theory results on RNN expressivity.</w:t>
      </w:r>
    </w:p>
    <w:p w14:paraId="3793DE89" w14:textId="77777777" w:rsidR="008144F3" w:rsidRDefault="00000000">
      <w:pPr>
        <w:spacing w:before="100" w:after="200" w:line="360" w:lineRule="auto"/>
      </w:pPr>
      <w:r>
        <w:lastRenderedPageBreak/>
        <w:t xml:space="preserve">2. Missing sensitivity analysis for ED score capping (Statistical, Type S). The ED score is capped at 1.0 via </w:t>
      </w:r>
      <w:proofErr w:type="gramStart"/>
      <w:r>
        <w:t>min(</w:t>
      </w:r>
      <w:proofErr w:type="gramEnd"/>
      <w:r>
        <w:t xml:space="preserve">1.0, </w:t>
      </w:r>
      <w:proofErr w:type="spellStart"/>
      <w:r>
        <w:t>Score_uncapped</w:t>
      </w:r>
      <w:proofErr w:type="spellEnd"/>
      <w:r>
        <w:t>). The appendix reference to sensitivity analysis is a placeholder. This must be completed.</w:t>
      </w:r>
    </w:p>
    <w:p w14:paraId="3793DE8A" w14:textId="77777777" w:rsidR="008144F3" w:rsidRDefault="00000000">
      <w:pPr>
        <w:spacing w:before="100" w:after="200" w:line="360" w:lineRule="auto"/>
      </w:pPr>
      <w:r>
        <w:t>3. Active inference section length (Presentation, Type S). Section 5.2 is well-written but long relative to its contribution. The three testable predictions are valuable; the extended analogies to precision-weighting could be tightened.</w:t>
      </w:r>
    </w:p>
    <w:p w14:paraId="3793DE8B" w14:textId="77777777" w:rsidR="008144F3" w:rsidRDefault="00000000">
      <w:pPr>
        <w:spacing w:before="100" w:after="200" w:line="360" w:lineRule="auto"/>
      </w:pPr>
      <w:r>
        <w:t>4. No explicit code/data availability statement. Required by Adaptive Behavior. Must add.</w:t>
      </w:r>
    </w:p>
    <w:p w14:paraId="3793DE8C" w14:textId="77777777" w:rsidR="008144F3" w:rsidRDefault="00000000">
      <w:r>
        <w:br w:type="page"/>
      </w:r>
    </w:p>
    <w:p w14:paraId="3793DE8D" w14:textId="77777777" w:rsidR="008144F3" w:rsidRDefault="00000000">
      <w:pPr>
        <w:pStyle w:val="Heading1"/>
        <w:pBdr>
          <w:bottom w:val="single" w:sz="12" w:space="1" w:color="000000"/>
        </w:pBdr>
        <w:spacing w:before="400" w:after="200"/>
      </w:pPr>
      <w:r>
        <w:lastRenderedPageBreak/>
        <w:t>SECTION 5: SEMANTIC CONSISTENCY AUDIT</w:t>
      </w:r>
    </w:p>
    <w:p w14:paraId="3793DE8E" w14:textId="77777777" w:rsidR="008144F3" w:rsidRDefault="00000000">
      <w:pPr>
        <w:spacing w:after="200" w:line="360" w:lineRule="auto"/>
        <w:jc w:val="both"/>
      </w:pPr>
      <w:r>
        <w:t>Key terms audited: "embodiment dependence," "constitutive," "causal," "computational capacity," "intervention," "mechanism," "input sensitivity."</w:t>
      </w:r>
    </w:p>
    <w:p w14:paraId="3793DE8F" w14:textId="77777777" w:rsidR="008144F3" w:rsidRDefault="00000000">
      <w:pPr>
        <w:pStyle w:val="Heading2"/>
        <w:spacing w:before="300" w:after="150"/>
      </w:pPr>
      <w:r>
        <w:t>Embodiment dependence:</w:t>
      </w:r>
    </w:p>
    <w:p w14:paraId="3793DE90" w14:textId="77777777" w:rsidR="008144F3" w:rsidRDefault="00000000">
      <w:pPr>
        <w:spacing w:after="200" w:line="360" w:lineRule="auto"/>
        <w:jc w:val="both"/>
      </w:pPr>
      <w:r>
        <w:t>Used consistently throughout as the operationalized measure of neural state divergence under coupling disruption. Properly distinguished from constitutive embodiment in Section 2.2. One minor drift: the abstract's phrase "coupling-dependent" could be read as synonymous with "constitutively embodied" by a careless reader. Consider: "coupling-dependent (in the sense of embodiment dependence as defined in Section 2.2)."</w:t>
      </w:r>
    </w:p>
    <w:p w14:paraId="3793DE91" w14:textId="77777777" w:rsidR="008144F3" w:rsidRDefault="00000000">
      <w:pPr>
        <w:pStyle w:val="Heading2"/>
        <w:spacing w:before="300" w:after="150"/>
      </w:pPr>
      <w:r>
        <w:t>Constitutive vs. causal:</w:t>
      </w:r>
    </w:p>
    <w:p w14:paraId="3793DE92" w14:textId="77777777" w:rsidR="008144F3" w:rsidRDefault="00000000">
      <w:pPr>
        <w:spacing w:after="200" w:line="360" w:lineRule="auto"/>
        <w:jc w:val="both"/>
      </w:pPr>
      <w:r>
        <w:t>Used correctly and consistently. The paper does not overclaim—it explicitly states that its results do not settle this distinction. No semantic drift detected.</w:t>
      </w:r>
    </w:p>
    <w:p w14:paraId="3793DE93" w14:textId="77777777" w:rsidR="008144F3" w:rsidRDefault="00000000">
      <w:pPr>
        <w:pStyle w:val="Heading2"/>
        <w:spacing w:before="300" w:after="150"/>
      </w:pPr>
      <w:r>
        <w:t>Computational capacity:</w:t>
      </w:r>
    </w:p>
    <w:p w14:paraId="3793DE94" w14:textId="77777777" w:rsidR="008144F3" w:rsidRDefault="00000000">
      <w:pPr>
        <w:spacing w:after="200" w:line="360" w:lineRule="auto"/>
        <w:jc w:val="both"/>
      </w:pPr>
      <w:r>
        <w:t>Defined in Section 3.5 as "dimensionality of state space accessible to a network," operationalized as network size n. This is used consistently but the definition conflates potential capacity (n-dimensional state space) with realized capacity (which depends on evolved weights). The paper acknowledges this ("proxy measure") but could be more precise about when it means the proxy vs. the underlying concept.</w:t>
      </w:r>
    </w:p>
    <w:p w14:paraId="3793DE95" w14:textId="77777777" w:rsidR="008144F3" w:rsidRDefault="00000000">
      <w:pPr>
        <w:pStyle w:val="Heading2"/>
        <w:spacing w:before="300" w:after="150"/>
      </w:pPr>
      <w:r>
        <w:t>Intervention:</w:t>
      </w:r>
    </w:p>
    <w:p w14:paraId="3793DE96" w14:textId="77777777" w:rsidR="008144F3" w:rsidRDefault="00000000">
      <w:pPr>
        <w:spacing w:after="200" w:line="360" w:lineRule="auto"/>
        <w:jc w:val="both"/>
      </w:pPr>
      <w:r>
        <w:t>Used in the Woodwardian sense throughout. Ghost conditions are properly described as interventions. No drift between philosophical and computational uses. The adaptation to evolved systems (Section 2.3) is flagged as non-standard but coherent.</w:t>
      </w:r>
    </w:p>
    <w:p w14:paraId="3793DE97" w14:textId="77777777" w:rsidR="008144F3" w:rsidRDefault="00000000">
      <w:pPr>
        <w:pStyle w:val="Heading2"/>
        <w:spacing w:before="300" w:after="150"/>
      </w:pPr>
      <w:r>
        <w:t>Mechanism:</w:t>
      </w:r>
    </w:p>
    <w:p w14:paraId="3793DE98" w14:textId="77777777" w:rsidR="008144F3" w:rsidRDefault="00000000">
      <w:pPr>
        <w:spacing w:after="200" w:line="360" w:lineRule="auto"/>
        <w:jc w:val="both"/>
      </w:pPr>
      <w:r>
        <w:t>Minor drift. Used in the new mechanical philosophy sense in Section 2.1 (Craver) but in the dynamical systems sense in Sections 4.7-4.9 ("mechanistic type classification" refers to characteristic dynamical regimes, not to organized entities and activities in Craver's sense). The paper should either explicitly distinguish these senses or choose one.</w:t>
      </w:r>
    </w:p>
    <w:p w14:paraId="3793DE99" w14:textId="77777777" w:rsidR="008144F3" w:rsidRDefault="00000000">
      <w:pPr>
        <w:pStyle w:val="Heading2"/>
        <w:spacing w:before="300" w:after="150"/>
      </w:pPr>
      <w:r>
        <w:t>Input sensitivity:</w:t>
      </w:r>
    </w:p>
    <w:p w14:paraId="3793DE9A" w14:textId="77777777" w:rsidR="008144F3" w:rsidRDefault="00000000">
      <w:pPr>
        <w:spacing w:after="200" w:line="360" w:lineRule="auto"/>
        <w:jc w:val="both"/>
      </w:pPr>
      <w:r>
        <w:t>Introduced in Section 3.8, used consistently as "range of trajectory variance across input conditions." No drift.</w:t>
      </w:r>
    </w:p>
    <w:p w14:paraId="3793DE9B" w14:textId="77777777" w:rsidR="008144F3" w:rsidRDefault="00000000">
      <w:r>
        <w:br w:type="page"/>
      </w:r>
    </w:p>
    <w:p w14:paraId="3793DE9C" w14:textId="77777777" w:rsidR="008144F3" w:rsidRDefault="00000000">
      <w:pPr>
        <w:pStyle w:val="Heading1"/>
        <w:pBdr>
          <w:bottom w:val="single" w:sz="12" w:space="1" w:color="000000"/>
        </w:pBdr>
        <w:spacing w:before="400" w:after="200"/>
      </w:pPr>
      <w:r>
        <w:lastRenderedPageBreak/>
        <w:t>SECTION 6: PASSAGE-LEVEL COMMENTS</w:t>
      </w:r>
    </w:p>
    <w:p w14:paraId="3793DE9D" w14:textId="77777777" w:rsidR="008144F3" w:rsidRDefault="00000000">
      <w:pPr>
        <w:pStyle w:val="Heading2"/>
        <w:spacing w:before="300" w:after="150"/>
      </w:pPr>
      <w:r>
        <w:t>Abstract:</w:t>
      </w:r>
    </w:p>
    <w:p w14:paraId="3793DE9E" w14:textId="77777777" w:rsidR="008144F3" w:rsidRDefault="00000000">
      <w:pPr>
        <w:spacing w:after="200" w:line="360" w:lineRule="auto"/>
        <w:jc w:val="both"/>
      </w:pPr>
      <w:r>
        <w:t>Strong. Covers context, gap, method, finding, significance. One suggestion: the abstract currently front-loads the capacity-dependence result (ρ=0.39) rather than the stronger input sensitivity finding (ρ=0.66). Consider restructuring to lead with the strongest result.</w:t>
      </w:r>
    </w:p>
    <w:p w14:paraId="3793DE9F" w14:textId="77777777" w:rsidR="008144F3" w:rsidRDefault="00000000">
      <w:pPr>
        <w:pStyle w:val="Heading2"/>
        <w:spacing w:before="300" w:after="150"/>
      </w:pPr>
      <w:r>
        <w:t>Section 1.2, paragraph 2:</w:t>
      </w:r>
    </w:p>
    <w:p w14:paraId="3793DEA0" w14:textId="77777777" w:rsidR="008144F3" w:rsidRDefault="00000000">
      <w:pPr>
        <w:spacing w:after="200" w:line="360" w:lineRule="auto"/>
        <w:jc w:val="both"/>
      </w:pPr>
      <w:r>
        <w:t>"Our hypothesis is that it scales with computational capacity" — the word "scales" implies a monotonic function, but Section 4.4 shows the relationship is non-monotonic. Consider "is associated with" or "tends to increase with."</w:t>
      </w:r>
    </w:p>
    <w:p w14:paraId="3793DEA1" w14:textId="77777777" w:rsidR="008144F3" w:rsidRDefault="00000000">
      <w:pPr>
        <w:pStyle w:val="Heading2"/>
        <w:spacing w:before="300" w:after="150"/>
      </w:pPr>
      <w:r>
        <w:t>Section 2.3, final paragraph:</w:t>
      </w:r>
    </w:p>
    <w:p w14:paraId="3793DEA2" w14:textId="77777777" w:rsidR="008144F3" w:rsidRDefault="00000000">
      <w:pPr>
        <w:spacing w:after="200" w:line="360" w:lineRule="auto"/>
        <w:jc w:val="both"/>
      </w:pPr>
      <w:r>
        <w:t>The Woodward adaptation is the weakest paragraph in the philosophical framework. The claim that "interventions reveal robustness of a particular evolved solution, not general causal patterns across populations" is important but needs more development. This is where a Skeptic philosopher would push hardest.</w:t>
      </w:r>
    </w:p>
    <w:p w14:paraId="3793DEA3" w14:textId="77777777" w:rsidR="008144F3" w:rsidRDefault="00000000">
      <w:pPr>
        <w:pStyle w:val="Heading2"/>
        <w:spacing w:before="300" w:after="150"/>
      </w:pPr>
      <w:r>
        <w:t>Section 3.1:</w:t>
      </w:r>
    </w:p>
    <w:p w14:paraId="3793DEA4" w14:textId="77777777" w:rsidR="008144F3" w:rsidRDefault="00000000">
      <w:pPr>
        <w:spacing w:after="200" w:line="360" w:lineRule="auto"/>
        <w:jc w:val="both"/>
      </w:pPr>
      <w:r>
        <w:t>CTRNN dynamics equation uses subscript notation (τᵢ, yᵢ) in the markdown but should use proper LaTeX notation in the PDF. Confirm the LaTeX rendering.</w:t>
      </w:r>
    </w:p>
    <w:p w14:paraId="3793DEA5" w14:textId="77777777" w:rsidR="008144F3" w:rsidRDefault="00000000">
      <w:pPr>
        <w:pStyle w:val="Heading2"/>
        <w:spacing w:before="300" w:after="150"/>
      </w:pPr>
      <w:r>
        <w:t>Section 4.2, Table 1:</w:t>
      </w:r>
    </w:p>
    <w:p w14:paraId="3793DEA6" w14:textId="77777777" w:rsidR="008144F3" w:rsidRDefault="00000000">
      <w:pPr>
        <w:spacing w:after="200" w:line="360" w:lineRule="auto"/>
        <w:jc w:val="both"/>
      </w:pPr>
      <w:r>
        <w:t>The 95% CI for n=4 is [0.35, 0.82] — this is very wide (</w:t>
      </w:r>
      <w:proofErr w:type="gramStart"/>
      <w:r>
        <w:t>0.47 unit</w:t>
      </w:r>
      <w:proofErr w:type="gramEnd"/>
      <w:r>
        <w:t xml:space="preserve"> range on a 0-1 scale). The paper should comment on what this width implies for the reliability of the n=4 estimate.</w:t>
      </w:r>
    </w:p>
    <w:p w14:paraId="3793DEA7" w14:textId="77777777" w:rsidR="008144F3" w:rsidRDefault="00000000">
      <w:pPr>
        <w:pStyle w:val="Heading2"/>
        <w:spacing w:before="300" w:after="150"/>
      </w:pPr>
      <w:r>
        <w:t>Section 4.3:</w:t>
      </w:r>
    </w:p>
    <w:p w14:paraId="3793DEA8" w14:textId="77777777" w:rsidR="008144F3" w:rsidRDefault="00000000">
      <w:pPr>
        <w:spacing w:after="200" w:line="360" w:lineRule="auto"/>
        <w:jc w:val="both"/>
      </w:pPr>
      <w:r>
        <w:t xml:space="preserve">Excellent methodological contribution. Consider whether this deserves a standalone methods note or supplementary publication — it's a lesson </w:t>
      </w:r>
      <w:proofErr w:type="gramStart"/>
      <w:r>
        <w:t>the entire evolutionary robotics field needs</w:t>
      </w:r>
      <w:proofErr w:type="gramEnd"/>
      <w:r>
        <w:t>.</w:t>
      </w:r>
    </w:p>
    <w:p w14:paraId="3793DEA9" w14:textId="77777777" w:rsidR="008144F3" w:rsidRDefault="00000000">
      <w:pPr>
        <w:pStyle w:val="Heading2"/>
        <w:spacing w:before="300" w:after="150"/>
      </w:pPr>
      <w:r>
        <w:t>Section 4.7.1:</w:t>
      </w:r>
    </w:p>
    <w:p w14:paraId="3793DEAA" w14:textId="77777777" w:rsidR="008144F3" w:rsidRDefault="00000000">
      <w:pPr>
        <w:spacing w:after="200" w:line="360" w:lineRule="auto"/>
        <w:jc w:val="both"/>
      </w:pPr>
      <w:r>
        <w:t>"Cohen's d=+1.36" — this is a large effect, but from comparing groups of n=7 and n=13. Report the 95% CI for Cohen's d. With these sample sizes, the CI will be very wide, tempering the apparent strength of the finding.</w:t>
      </w:r>
    </w:p>
    <w:p w14:paraId="3793DEAB" w14:textId="77777777" w:rsidR="008144F3" w:rsidRDefault="00000000">
      <w:pPr>
        <w:pStyle w:val="Heading2"/>
        <w:spacing w:before="300" w:after="150"/>
      </w:pPr>
      <w:r>
        <w:t>Section 4.8.1:</w:t>
      </w:r>
    </w:p>
    <w:p w14:paraId="3793DEAC" w14:textId="77777777" w:rsidR="008144F3" w:rsidRDefault="00000000">
      <w:pPr>
        <w:spacing w:after="200" w:line="360" w:lineRule="auto"/>
        <w:jc w:val="both"/>
      </w:pPr>
      <w:r>
        <w:t>The partial correlation analysis showing input sensitivity subsumes bifurcation count is methodologically important. Consider framing this more prominently as a result, not just an analytical footnote.</w:t>
      </w:r>
    </w:p>
    <w:p w14:paraId="3793DEAD" w14:textId="77777777" w:rsidR="008144F3" w:rsidRDefault="00000000">
      <w:pPr>
        <w:pStyle w:val="Heading2"/>
        <w:spacing w:before="300" w:after="150"/>
      </w:pPr>
      <w:r>
        <w:t>Section 5.2:</w:t>
      </w:r>
    </w:p>
    <w:p w14:paraId="3793DEAE" w14:textId="77777777" w:rsidR="008144F3" w:rsidRDefault="00000000">
      <w:pPr>
        <w:spacing w:after="200" w:line="360" w:lineRule="auto"/>
        <w:jc w:val="both"/>
      </w:pPr>
      <w:r>
        <w:t>The three testable predictions connecting to active inference are excellent. Consider numbering them explicitly and flagging them as a contribution — they provide a concrete research agenda.</w:t>
      </w:r>
    </w:p>
    <w:p w14:paraId="3793DEAF" w14:textId="77777777" w:rsidR="008144F3" w:rsidRDefault="00000000">
      <w:pPr>
        <w:pStyle w:val="Heading2"/>
        <w:spacing w:before="300" w:after="150"/>
      </w:pPr>
      <w:r>
        <w:lastRenderedPageBreak/>
        <w:t>Section 5.4:</w:t>
      </w:r>
    </w:p>
    <w:p w14:paraId="3793DEB0" w14:textId="77777777" w:rsidR="008144F3" w:rsidRDefault="00000000">
      <w:pPr>
        <w:spacing w:after="200" w:line="360" w:lineRule="auto"/>
        <w:jc w:val="both"/>
      </w:pPr>
      <w:r>
        <w:t>This is the most important paragraph in the paper philosophically. It should not be buried in "Scope Clarifications." Consider renaming to "Philosophical Status of Embodiment Dependence" and positioning it more prominently.</w:t>
      </w:r>
    </w:p>
    <w:p w14:paraId="3793DEB1" w14:textId="77777777" w:rsidR="008144F3" w:rsidRDefault="00000000">
      <w:pPr>
        <w:pStyle w:val="Heading2"/>
        <w:spacing w:before="300" w:after="150"/>
      </w:pPr>
      <w:r>
        <w:t>Section 5.6, Limitation 2:</w:t>
      </w:r>
    </w:p>
    <w:p w14:paraId="3793DEB2" w14:textId="77777777" w:rsidR="008144F3" w:rsidRDefault="00000000">
      <w:pPr>
        <w:spacing w:after="200" w:line="360" w:lineRule="auto"/>
        <w:jc w:val="both"/>
      </w:pPr>
      <w:r>
        <w:t>"Findings are robust within this subsample but require validation on the full dataset." This understates the concern. The 18 missing conditions are the original 3-seed runs, which were shown to be biased. Be explicit about this.</w:t>
      </w:r>
    </w:p>
    <w:p w14:paraId="3793DEB3" w14:textId="77777777" w:rsidR="008144F3" w:rsidRDefault="00000000">
      <w:r>
        <w:br w:type="page"/>
      </w:r>
    </w:p>
    <w:p w14:paraId="3793DEB4" w14:textId="77777777" w:rsidR="008144F3" w:rsidRDefault="00000000">
      <w:pPr>
        <w:pStyle w:val="Heading1"/>
        <w:pBdr>
          <w:bottom w:val="single" w:sz="12" w:space="1" w:color="000000"/>
        </w:pBdr>
        <w:spacing w:before="400" w:after="200"/>
      </w:pPr>
      <w:r>
        <w:lastRenderedPageBreak/>
        <w:t>SECTION 7: REVISION PRIORITY MATRIX</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011"/>
        <w:gridCol w:w="3111"/>
        <w:gridCol w:w="1493"/>
        <w:gridCol w:w="1493"/>
        <w:gridCol w:w="1916"/>
      </w:tblGrid>
      <w:tr w:rsidR="008144F3" w14:paraId="3793DEBA" w14:textId="77777777">
        <w:tblPrEx>
          <w:tblCellMar>
            <w:top w:w="0" w:type="dxa"/>
            <w:bottom w:w="0" w:type="dxa"/>
          </w:tblCellMar>
        </w:tblPrEx>
        <w:trPr>
          <w:trHeight w:val="400"/>
          <w:tblHeader/>
        </w:trPr>
        <w:tc>
          <w:tcPr>
            <w:tcW w:w="800" w:type="dxa"/>
            <w:shd w:val="clear" w:color="auto" w:fill="D5E8F0"/>
            <w:tcMar>
              <w:top w:w="100" w:type="dxa"/>
              <w:left w:w="100" w:type="dxa"/>
              <w:bottom w:w="100" w:type="dxa"/>
              <w:right w:w="100" w:type="dxa"/>
            </w:tcMar>
          </w:tcPr>
          <w:p w14:paraId="3793DEB5" w14:textId="77777777" w:rsidR="008144F3" w:rsidRDefault="00000000">
            <w:r>
              <w:t>Priority</w:t>
            </w:r>
          </w:p>
        </w:tc>
        <w:tc>
          <w:tcPr>
            <w:tcW w:w="2500" w:type="dxa"/>
            <w:shd w:val="clear" w:color="auto" w:fill="D5E8F0"/>
            <w:tcMar>
              <w:top w:w="100" w:type="dxa"/>
              <w:left w:w="100" w:type="dxa"/>
              <w:bottom w:w="100" w:type="dxa"/>
              <w:right w:w="100" w:type="dxa"/>
            </w:tcMar>
          </w:tcPr>
          <w:p w14:paraId="3793DEB6" w14:textId="77777777" w:rsidR="008144F3" w:rsidRDefault="00000000">
            <w:r>
              <w:t>Issue</w:t>
            </w:r>
          </w:p>
        </w:tc>
        <w:tc>
          <w:tcPr>
            <w:tcW w:w="1200" w:type="dxa"/>
            <w:shd w:val="clear" w:color="auto" w:fill="D5E8F0"/>
            <w:tcMar>
              <w:top w:w="100" w:type="dxa"/>
              <w:left w:w="100" w:type="dxa"/>
              <w:bottom w:w="100" w:type="dxa"/>
              <w:right w:w="100" w:type="dxa"/>
            </w:tcMar>
          </w:tcPr>
          <w:p w14:paraId="3793DEB7" w14:textId="77777777" w:rsidR="008144F3" w:rsidRDefault="00000000">
            <w:r>
              <w:t>Section</w:t>
            </w:r>
          </w:p>
        </w:tc>
        <w:tc>
          <w:tcPr>
            <w:tcW w:w="1200" w:type="dxa"/>
            <w:shd w:val="clear" w:color="auto" w:fill="D5E8F0"/>
            <w:tcMar>
              <w:top w:w="100" w:type="dxa"/>
              <w:left w:w="100" w:type="dxa"/>
              <w:bottom w:w="100" w:type="dxa"/>
              <w:right w:w="100" w:type="dxa"/>
            </w:tcMar>
          </w:tcPr>
          <w:p w14:paraId="3793DEB8" w14:textId="77777777" w:rsidR="008144F3" w:rsidRDefault="00000000">
            <w:r>
              <w:t>Effort</w:t>
            </w:r>
          </w:p>
        </w:tc>
        <w:tc>
          <w:tcPr>
            <w:tcW w:w="1540" w:type="dxa"/>
            <w:shd w:val="clear" w:color="auto" w:fill="D5E8F0"/>
            <w:tcMar>
              <w:top w:w="100" w:type="dxa"/>
              <w:left w:w="100" w:type="dxa"/>
              <w:bottom w:w="100" w:type="dxa"/>
              <w:right w:w="100" w:type="dxa"/>
            </w:tcMar>
          </w:tcPr>
          <w:p w14:paraId="3793DEB9" w14:textId="77777777" w:rsidR="008144F3" w:rsidRDefault="00000000">
            <w:r>
              <w:t>Impact</w:t>
            </w:r>
          </w:p>
        </w:tc>
      </w:tr>
      <w:tr w:rsidR="008144F3" w14:paraId="3793DEC0"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BB" w14:textId="77777777" w:rsidR="008144F3" w:rsidRDefault="00000000">
            <w:r>
              <w:t>1</w:t>
            </w:r>
          </w:p>
        </w:tc>
        <w:tc>
          <w:tcPr>
            <w:tcW w:w="2500" w:type="dxa"/>
            <w:tcMar>
              <w:top w:w="100" w:type="dxa"/>
              <w:left w:w="100" w:type="dxa"/>
              <w:bottom w:w="100" w:type="dxa"/>
              <w:right w:w="100" w:type="dxa"/>
            </w:tcMar>
          </w:tcPr>
          <w:p w14:paraId="3793DEBC" w14:textId="77777777" w:rsidR="008144F3" w:rsidRDefault="00000000">
            <w:r>
              <w:t>Add formal multiple comparison correction (BH-FDR) to main text with reporting</w:t>
            </w:r>
          </w:p>
        </w:tc>
        <w:tc>
          <w:tcPr>
            <w:tcW w:w="1200" w:type="dxa"/>
            <w:tcMar>
              <w:top w:w="100" w:type="dxa"/>
              <w:left w:w="100" w:type="dxa"/>
              <w:bottom w:w="100" w:type="dxa"/>
              <w:right w:w="100" w:type="dxa"/>
            </w:tcMar>
          </w:tcPr>
          <w:p w14:paraId="3793DEBD" w14:textId="77777777" w:rsidR="008144F3" w:rsidRDefault="00000000">
            <w:r>
              <w:t>§4 all</w:t>
            </w:r>
          </w:p>
        </w:tc>
        <w:tc>
          <w:tcPr>
            <w:tcW w:w="1200" w:type="dxa"/>
            <w:tcMar>
              <w:top w:w="100" w:type="dxa"/>
              <w:left w:w="100" w:type="dxa"/>
              <w:bottom w:w="100" w:type="dxa"/>
              <w:right w:w="100" w:type="dxa"/>
            </w:tcMar>
          </w:tcPr>
          <w:p w14:paraId="3793DEBE" w14:textId="77777777" w:rsidR="008144F3" w:rsidRDefault="00000000">
            <w:r>
              <w:t>Low</w:t>
            </w:r>
          </w:p>
        </w:tc>
        <w:tc>
          <w:tcPr>
            <w:tcW w:w="1540" w:type="dxa"/>
            <w:tcMar>
              <w:top w:w="100" w:type="dxa"/>
              <w:left w:w="100" w:type="dxa"/>
              <w:bottom w:w="100" w:type="dxa"/>
              <w:right w:w="100" w:type="dxa"/>
            </w:tcMar>
          </w:tcPr>
          <w:p w14:paraId="3793DEBF" w14:textId="77777777" w:rsidR="008144F3" w:rsidRDefault="00000000">
            <w:r>
              <w:t>High — prevents statistical methodology rejection</w:t>
            </w:r>
          </w:p>
        </w:tc>
      </w:tr>
      <w:tr w:rsidR="008144F3" w14:paraId="3793DEC6"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C1" w14:textId="77777777" w:rsidR="008144F3" w:rsidRDefault="00000000">
            <w:r>
              <w:t>2</w:t>
            </w:r>
          </w:p>
        </w:tc>
        <w:tc>
          <w:tcPr>
            <w:tcW w:w="2500" w:type="dxa"/>
            <w:tcMar>
              <w:top w:w="100" w:type="dxa"/>
              <w:left w:w="100" w:type="dxa"/>
              <w:bottom w:w="100" w:type="dxa"/>
              <w:right w:w="100" w:type="dxa"/>
            </w:tcMar>
          </w:tcPr>
          <w:p w14:paraId="3793DEC2" w14:textId="77777777" w:rsidR="008144F3" w:rsidRDefault="00000000">
            <w:r>
              <w:t>Address 42/60 subsample representativeness explicitly</w:t>
            </w:r>
          </w:p>
        </w:tc>
        <w:tc>
          <w:tcPr>
            <w:tcW w:w="1200" w:type="dxa"/>
            <w:tcMar>
              <w:top w:w="100" w:type="dxa"/>
              <w:left w:w="100" w:type="dxa"/>
              <w:bottom w:w="100" w:type="dxa"/>
              <w:right w:w="100" w:type="dxa"/>
            </w:tcMar>
          </w:tcPr>
          <w:p w14:paraId="3793DEC3" w14:textId="77777777" w:rsidR="008144F3" w:rsidRDefault="00000000">
            <w:r>
              <w:t>§4.7-4.9</w:t>
            </w:r>
          </w:p>
        </w:tc>
        <w:tc>
          <w:tcPr>
            <w:tcW w:w="1200" w:type="dxa"/>
            <w:tcMar>
              <w:top w:w="100" w:type="dxa"/>
              <w:left w:w="100" w:type="dxa"/>
              <w:bottom w:w="100" w:type="dxa"/>
              <w:right w:w="100" w:type="dxa"/>
            </w:tcMar>
          </w:tcPr>
          <w:p w14:paraId="3793DEC4" w14:textId="77777777" w:rsidR="008144F3" w:rsidRDefault="00000000">
            <w:r>
              <w:t>Medium</w:t>
            </w:r>
          </w:p>
        </w:tc>
        <w:tc>
          <w:tcPr>
            <w:tcW w:w="1540" w:type="dxa"/>
            <w:tcMar>
              <w:top w:w="100" w:type="dxa"/>
              <w:left w:w="100" w:type="dxa"/>
              <w:bottom w:w="100" w:type="dxa"/>
              <w:right w:w="100" w:type="dxa"/>
            </w:tcMar>
          </w:tcPr>
          <w:p w14:paraId="3793DEC5" w14:textId="77777777" w:rsidR="008144F3" w:rsidRDefault="00000000">
            <w:r>
              <w:t>High — strengthens the paper's strongest findings</w:t>
            </w:r>
          </w:p>
        </w:tc>
      </w:tr>
      <w:tr w:rsidR="008144F3" w14:paraId="3793DECC"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C7" w14:textId="77777777" w:rsidR="008144F3" w:rsidRDefault="00000000">
            <w:r>
              <w:t>3</w:t>
            </w:r>
          </w:p>
        </w:tc>
        <w:tc>
          <w:tcPr>
            <w:tcW w:w="2500" w:type="dxa"/>
            <w:tcMar>
              <w:top w:w="100" w:type="dxa"/>
              <w:left w:w="100" w:type="dxa"/>
              <w:bottom w:w="100" w:type="dxa"/>
              <w:right w:w="100" w:type="dxa"/>
            </w:tcMar>
          </w:tcPr>
          <w:p w14:paraId="3793DEC8" w14:textId="77777777" w:rsidR="008144F3" w:rsidRDefault="00000000">
            <w:r>
              <w:t>Classify bifurcation types (saddle-node, Hopf, etc.)</w:t>
            </w:r>
          </w:p>
        </w:tc>
        <w:tc>
          <w:tcPr>
            <w:tcW w:w="1200" w:type="dxa"/>
            <w:tcMar>
              <w:top w:w="100" w:type="dxa"/>
              <w:left w:w="100" w:type="dxa"/>
              <w:bottom w:w="100" w:type="dxa"/>
              <w:right w:w="100" w:type="dxa"/>
            </w:tcMar>
          </w:tcPr>
          <w:p w14:paraId="3793DEC9" w14:textId="77777777" w:rsidR="008144F3" w:rsidRDefault="00000000">
            <w:r>
              <w:t>§4.8.2</w:t>
            </w:r>
          </w:p>
        </w:tc>
        <w:tc>
          <w:tcPr>
            <w:tcW w:w="1200" w:type="dxa"/>
            <w:tcMar>
              <w:top w:w="100" w:type="dxa"/>
              <w:left w:w="100" w:type="dxa"/>
              <w:bottom w:w="100" w:type="dxa"/>
              <w:right w:w="100" w:type="dxa"/>
            </w:tcMar>
          </w:tcPr>
          <w:p w14:paraId="3793DECA" w14:textId="77777777" w:rsidR="008144F3" w:rsidRDefault="00000000">
            <w:r>
              <w:t>Medium</w:t>
            </w:r>
          </w:p>
        </w:tc>
        <w:tc>
          <w:tcPr>
            <w:tcW w:w="1540" w:type="dxa"/>
            <w:tcMar>
              <w:top w:w="100" w:type="dxa"/>
              <w:left w:w="100" w:type="dxa"/>
              <w:bottom w:w="100" w:type="dxa"/>
              <w:right w:w="100" w:type="dxa"/>
            </w:tcMar>
          </w:tcPr>
          <w:p w14:paraId="3793DECB" w14:textId="77777777" w:rsidR="008144F3" w:rsidRDefault="00000000">
            <w:r>
              <w:t>Medium-High — strengthens mechanistic account</w:t>
            </w:r>
          </w:p>
        </w:tc>
      </w:tr>
      <w:tr w:rsidR="008144F3" w14:paraId="3793DED2"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CD" w14:textId="77777777" w:rsidR="008144F3" w:rsidRDefault="00000000">
            <w:r>
              <w:t>4</w:t>
            </w:r>
          </w:p>
        </w:tc>
        <w:tc>
          <w:tcPr>
            <w:tcW w:w="2500" w:type="dxa"/>
            <w:tcMar>
              <w:top w:w="100" w:type="dxa"/>
              <w:left w:w="100" w:type="dxa"/>
              <w:bottom w:w="100" w:type="dxa"/>
              <w:right w:w="100" w:type="dxa"/>
            </w:tcMar>
          </w:tcPr>
          <w:p w14:paraId="3793DECE" w14:textId="77777777" w:rsidR="008144F3" w:rsidRDefault="00000000">
            <w:r>
              <w:t>Specify Lyapunov exponent computation methodology</w:t>
            </w:r>
          </w:p>
        </w:tc>
        <w:tc>
          <w:tcPr>
            <w:tcW w:w="1200" w:type="dxa"/>
            <w:tcMar>
              <w:top w:w="100" w:type="dxa"/>
              <w:left w:w="100" w:type="dxa"/>
              <w:bottom w:w="100" w:type="dxa"/>
              <w:right w:w="100" w:type="dxa"/>
            </w:tcMar>
          </w:tcPr>
          <w:p w14:paraId="3793DECF" w14:textId="77777777" w:rsidR="008144F3" w:rsidRDefault="00000000">
            <w:r>
              <w:t>§3.6</w:t>
            </w:r>
          </w:p>
        </w:tc>
        <w:tc>
          <w:tcPr>
            <w:tcW w:w="1200" w:type="dxa"/>
            <w:tcMar>
              <w:top w:w="100" w:type="dxa"/>
              <w:left w:w="100" w:type="dxa"/>
              <w:bottom w:w="100" w:type="dxa"/>
              <w:right w:w="100" w:type="dxa"/>
            </w:tcMar>
          </w:tcPr>
          <w:p w14:paraId="3793DED0" w14:textId="77777777" w:rsidR="008144F3" w:rsidRDefault="00000000">
            <w:r>
              <w:t>Low</w:t>
            </w:r>
          </w:p>
        </w:tc>
        <w:tc>
          <w:tcPr>
            <w:tcW w:w="1540" w:type="dxa"/>
            <w:tcMar>
              <w:top w:w="100" w:type="dxa"/>
              <w:left w:w="100" w:type="dxa"/>
              <w:bottom w:w="100" w:type="dxa"/>
              <w:right w:w="100" w:type="dxa"/>
            </w:tcMar>
          </w:tcPr>
          <w:p w14:paraId="3793DED1" w14:textId="77777777" w:rsidR="008144F3" w:rsidRDefault="00000000">
            <w:r>
              <w:t>Medium — prevents technical rejection</w:t>
            </w:r>
          </w:p>
        </w:tc>
      </w:tr>
      <w:tr w:rsidR="008144F3" w14:paraId="3793DED8"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D3" w14:textId="77777777" w:rsidR="008144F3" w:rsidRDefault="00000000">
            <w:r>
              <w:t>5</w:t>
            </w:r>
          </w:p>
        </w:tc>
        <w:tc>
          <w:tcPr>
            <w:tcW w:w="2500" w:type="dxa"/>
            <w:tcMar>
              <w:top w:w="100" w:type="dxa"/>
              <w:left w:w="100" w:type="dxa"/>
              <w:bottom w:w="100" w:type="dxa"/>
              <w:right w:w="100" w:type="dxa"/>
            </w:tcMar>
          </w:tcPr>
          <w:p w14:paraId="3793DED4" w14:textId="77777777" w:rsidR="008144F3" w:rsidRDefault="00000000">
            <w:r>
              <w:t>Add Westfall &amp; Yarkoni caveat to partial correlation discussion</w:t>
            </w:r>
          </w:p>
        </w:tc>
        <w:tc>
          <w:tcPr>
            <w:tcW w:w="1200" w:type="dxa"/>
            <w:tcMar>
              <w:top w:w="100" w:type="dxa"/>
              <w:left w:w="100" w:type="dxa"/>
              <w:bottom w:w="100" w:type="dxa"/>
              <w:right w:w="100" w:type="dxa"/>
            </w:tcMar>
          </w:tcPr>
          <w:p w14:paraId="3793DED5" w14:textId="77777777" w:rsidR="008144F3" w:rsidRDefault="00000000">
            <w:r>
              <w:t>§4.8.4</w:t>
            </w:r>
          </w:p>
        </w:tc>
        <w:tc>
          <w:tcPr>
            <w:tcW w:w="1200" w:type="dxa"/>
            <w:tcMar>
              <w:top w:w="100" w:type="dxa"/>
              <w:left w:w="100" w:type="dxa"/>
              <w:bottom w:w="100" w:type="dxa"/>
              <w:right w:w="100" w:type="dxa"/>
            </w:tcMar>
          </w:tcPr>
          <w:p w14:paraId="3793DED6" w14:textId="77777777" w:rsidR="008144F3" w:rsidRDefault="00000000">
            <w:r>
              <w:t>Low</w:t>
            </w:r>
          </w:p>
        </w:tc>
        <w:tc>
          <w:tcPr>
            <w:tcW w:w="1540" w:type="dxa"/>
            <w:tcMar>
              <w:top w:w="100" w:type="dxa"/>
              <w:left w:w="100" w:type="dxa"/>
              <w:bottom w:w="100" w:type="dxa"/>
              <w:right w:w="100" w:type="dxa"/>
            </w:tcMar>
          </w:tcPr>
          <w:p w14:paraId="3793DED7" w14:textId="77777777" w:rsidR="008144F3" w:rsidRDefault="00000000">
            <w:r>
              <w:t>Medium — demonstrates statistical sophistication</w:t>
            </w:r>
          </w:p>
        </w:tc>
      </w:tr>
      <w:tr w:rsidR="008144F3" w14:paraId="3793DEDE"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D9" w14:textId="77777777" w:rsidR="008144F3" w:rsidRDefault="00000000">
            <w:r>
              <w:t>6</w:t>
            </w:r>
          </w:p>
        </w:tc>
        <w:tc>
          <w:tcPr>
            <w:tcW w:w="2500" w:type="dxa"/>
            <w:tcMar>
              <w:top w:w="100" w:type="dxa"/>
              <w:left w:w="100" w:type="dxa"/>
              <w:bottom w:w="100" w:type="dxa"/>
              <w:right w:w="100" w:type="dxa"/>
            </w:tcMar>
          </w:tcPr>
          <w:p w14:paraId="3793DEDA" w14:textId="77777777" w:rsidR="008144F3" w:rsidRDefault="00000000">
            <w:r>
              <w:t>Add code/data availability statement</w:t>
            </w:r>
          </w:p>
        </w:tc>
        <w:tc>
          <w:tcPr>
            <w:tcW w:w="1200" w:type="dxa"/>
            <w:tcMar>
              <w:top w:w="100" w:type="dxa"/>
              <w:left w:w="100" w:type="dxa"/>
              <w:bottom w:w="100" w:type="dxa"/>
              <w:right w:w="100" w:type="dxa"/>
            </w:tcMar>
          </w:tcPr>
          <w:p w14:paraId="3793DEDB" w14:textId="77777777" w:rsidR="008144F3" w:rsidRDefault="00000000">
            <w:r>
              <w:t>§6 or new section</w:t>
            </w:r>
          </w:p>
        </w:tc>
        <w:tc>
          <w:tcPr>
            <w:tcW w:w="1200" w:type="dxa"/>
            <w:tcMar>
              <w:top w:w="100" w:type="dxa"/>
              <w:left w:w="100" w:type="dxa"/>
              <w:bottom w:w="100" w:type="dxa"/>
              <w:right w:w="100" w:type="dxa"/>
            </w:tcMar>
          </w:tcPr>
          <w:p w14:paraId="3793DEDC" w14:textId="77777777" w:rsidR="008144F3" w:rsidRDefault="00000000">
            <w:r>
              <w:t>Low</w:t>
            </w:r>
          </w:p>
        </w:tc>
        <w:tc>
          <w:tcPr>
            <w:tcW w:w="1540" w:type="dxa"/>
            <w:tcMar>
              <w:top w:w="100" w:type="dxa"/>
              <w:left w:w="100" w:type="dxa"/>
              <w:bottom w:w="100" w:type="dxa"/>
              <w:right w:w="100" w:type="dxa"/>
            </w:tcMar>
          </w:tcPr>
          <w:p w14:paraId="3793DEDD" w14:textId="77777777" w:rsidR="008144F3" w:rsidRDefault="00000000">
            <w:r>
              <w:t>High — required by venue</w:t>
            </w:r>
          </w:p>
        </w:tc>
      </w:tr>
      <w:tr w:rsidR="008144F3" w14:paraId="3793DEE4"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DF" w14:textId="77777777" w:rsidR="008144F3" w:rsidRDefault="00000000">
            <w:r>
              <w:t>7</w:t>
            </w:r>
          </w:p>
        </w:tc>
        <w:tc>
          <w:tcPr>
            <w:tcW w:w="2500" w:type="dxa"/>
            <w:tcMar>
              <w:top w:w="100" w:type="dxa"/>
              <w:left w:w="100" w:type="dxa"/>
              <w:bottom w:w="100" w:type="dxa"/>
              <w:right w:w="100" w:type="dxa"/>
            </w:tcMar>
          </w:tcPr>
          <w:p w14:paraId="3793DEE0" w14:textId="77777777" w:rsidR="008144F3" w:rsidRDefault="00000000">
            <w:r>
              <w:t>Complete sensitivity analysis appendices (A and B)</w:t>
            </w:r>
          </w:p>
        </w:tc>
        <w:tc>
          <w:tcPr>
            <w:tcW w:w="1200" w:type="dxa"/>
            <w:tcMar>
              <w:top w:w="100" w:type="dxa"/>
              <w:left w:w="100" w:type="dxa"/>
              <w:bottom w:w="100" w:type="dxa"/>
              <w:right w:w="100" w:type="dxa"/>
            </w:tcMar>
          </w:tcPr>
          <w:p w14:paraId="3793DEE1" w14:textId="77777777" w:rsidR="008144F3" w:rsidRDefault="00000000">
            <w:r>
              <w:t>Appendices</w:t>
            </w:r>
          </w:p>
        </w:tc>
        <w:tc>
          <w:tcPr>
            <w:tcW w:w="1200" w:type="dxa"/>
            <w:tcMar>
              <w:top w:w="100" w:type="dxa"/>
              <w:left w:w="100" w:type="dxa"/>
              <w:bottom w:w="100" w:type="dxa"/>
              <w:right w:w="100" w:type="dxa"/>
            </w:tcMar>
          </w:tcPr>
          <w:p w14:paraId="3793DEE2" w14:textId="77777777" w:rsidR="008144F3" w:rsidRDefault="00000000">
            <w:r>
              <w:t>Medium</w:t>
            </w:r>
          </w:p>
        </w:tc>
        <w:tc>
          <w:tcPr>
            <w:tcW w:w="1540" w:type="dxa"/>
            <w:tcMar>
              <w:top w:w="100" w:type="dxa"/>
              <w:left w:w="100" w:type="dxa"/>
              <w:bottom w:w="100" w:type="dxa"/>
              <w:right w:w="100" w:type="dxa"/>
            </w:tcMar>
          </w:tcPr>
          <w:p w14:paraId="3793DEE3" w14:textId="77777777" w:rsidR="008144F3" w:rsidRDefault="00000000">
            <w:r>
              <w:t>Medium — prevents "incomplete" verdict</w:t>
            </w:r>
          </w:p>
        </w:tc>
      </w:tr>
      <w:tr w:rsidR="008144F3" w14:paraId="3793DEEA"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E5" w14:textId="77777777" w:rsidR="008144F3" w:rsidRDefault="00000000">
            <w:r>
              <w:t>8</w:t>
            </w:r>
          </w:p>
        </w:tc>
        <w:tc>
          <w:tcPr>
            <w:tcW w:w="2500" w:type="dxa"/>
            <w:tcMar>
              <w:top w:w="100" w:type="dxa"/>
              <w:left w:w="100" w:type="dxa"/>
              <w:bottom w:w="100" w:type="dxa"/>
              <w:right w:w="100" w:type="dxa"/>
            </w:tcMar>
          </w:tcPr>
          <w:p w14:paraId="3793DEE6" w14:textId="77777777" w:rsidR="008144F3" w:rsidRDefault="00000000">
            <w:r>
              <w:t>Report CI for Cohen's d in group comparisons</w:t>
            </w:r>
          </w:p>
        </w:tc>
        <w:tc>
          <w:tcPr>
            <w:tcW w:w="1200" w:type="dxa"/>
            <w:tcMar>
              <w:top w:w="100" w:type="dxa"/>
              <w:left w:w="100" w:type="dxa"/>
              <w:bottom w:w="100" w:type="dxa"/>
              <w:right w:w="100" w:type="dxa"/>
            </w:tcMar>
          </w:tcPr>
          <w:p w14:paraId="3793DEE7" w14:textId="77777777" w:rsidR="008144F3" w:rsidRDefault="00000000">
            <w:r>
              <w:t>§4.7-4.8</w:t>
            </w:r>
          </w:p>
        </w:tc>
        <w:tc>
          <w:tcPr>
            <w:tcW w:w="1200" w:type="dxa"/>
            <w:tcMar>
              <w:top w:w="100" w:type="dxa"/>
              <w:left w:w="100" w:type="dxa"/>
              <w:bottom w:w="100" w:type="dxa"/>
              <w:right w:w="100" w:type="dxa"/>
            </w:tcMar>
          </w:tcPr>
          <w:p w14:paraId="3793DEE8" w14:textId="77777777" w:rsidR="008144F3" w:rsidRDefault="00000000">
            <w:r>
              <w:t>Low</w:t>
            </w:r>
          </w:p>
        </w:tc>
        <w:tc>
          <w:tcPr>
            <w:tcW w:w="1540" w:type="dxa"/>
            <w:tcMar>
              <w:top w:w="100" w:type="dxa"/>
              <w:left w:w="100" w:type="dxa"/>
              <w:bottom w:w="100" w:type="dxa"/>
              <w:right w:w="100" w:type="dxa"/>
            </w:tcMar>
          </w:tcPr>
          <w:p w14:paraId="3793DEE9" w14:textId="77777777" w:rsidR="008144F3" w:rsidRDefault="00000000">
            <w:r>
              <w:t>Low-Medium — good practice</w:t>
            </w:r>
          </w:p>
        </w:tc>
      </w:tr>
      <w:tr w:rsidR="008144F3" w14:paraId="3793DEF0"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EB" w14:textId="77777777" w:rsidR="008144F3" w:rsidRDefault="00000000">
            <w:r>
              <w:t>9</w:t>
            </w:r>
          </w:p>
        </w:tc>
        <w:tc>
          <w:tcPr>
            <w:tcW w:w="2500" w:type="dxa"/>
            <w:tcMar>
              <w:top w:w="100" w:type="dxa"/>
              <w:left w:w="100" w:type="dxa"/>
              <w:bottom w:w="100" w:type="dxa"/>
              <w:right w:w="100" w:type="dxa"/>
            </w:tcMar>
          </w:tcPr>
          <w:p w14:paraId="3793DEEC" w14:textId="77777777" w:rsidR="008144F3" w:rsidRDefault="00000000">
            <w:r>
              <w:t>Tighten Section 5.2 (active inference)</w:t>
            </w:r>
          </w:p>
        </w:tc>
        <w:tc>
          <w:tcPr>
            <w:tcW w:w="1200" w:type="dxa"/>
            <w:tcMar>
              <w:top w:w="100" w:type="dxa"/>
              <w:left w:w="100" w:type="dxa"/>
              <w:bottom w:w="100" w:type="dxa"/>
              <w:right w:w="100" w:type="dxa"/>
            </w:tcMar>
          </w:tcPr>
          <w:p w14:paraId="3793DEED" w14:textId="77777777" w:rsidR="008144F3" w:rsidRDefault="00000000">
            <w:r>
              <w:t>§5.2</w:t>
            </w:r>
          </w:p>
        </w:tc>
        <w:tc>
          <w:tcPr>
            <w:tcW w:w="1200" w:type="dxa"/>
            <w:tcMar>
              <w:top w:w="100" w:type="dxa"/>
              <w:left w:w="100" w:type="dxa"/>
              <w:bottom w:w="100" w:type="dxa"/>
              <w:right w:w="100" w:type="dxa"/>
            </w:tcMar>
          </w:tcPr>
          <w:p w14:paraId="3793DEEE" w14:textId="77777777" w:rsidR="008144F3" w:rsidRDefault="00000000">
            <w:r>
              <w:t>Low</w:t>
            </w:r>
          </w:p>
        </w:tc>
        <w:tc>
          <w:tcPr>
            <w:tcW w:w="1540" w:type="dxa"/>
            <w:tcMar>
              <w:top w:w="100" w:type="dxa"/>
              <w:left w:w="100" w:type="dxa"/>
              <w:bottom w:w="100" w:type="dxa"/>
              <w:right w:w="100" w:type="dxa"/>
            </w:tcMar>
          </w:tcPr>
          <w:p w14:paraId="3793DEEF" w14:textId="77777777" w:rsidR="008144F3" w:rsidRDefault="00000000">
            <w:r>
              <w:t>Low — presentation improvement</w:t>
            </w:r>
          </w:p>
        </w:tc>
      </w:tr>
      <w:tr w:rsidR="008144F3" w14:paraId="3793DEF6" w14:textId="77777777">
        <w:tblPrEx>
          <w:tblCellMar>
            <w:top w:w="0" w:type="dxa"/>
            <w:bottom w:w="0" w:type="dxa"/>
          </w:tblCellMar>
        </w:tblPrEx>
        <w:trPr>
          <w:trHeight w:val="500"/>
        </w:trPr>
        <w:tc>
          <w:tcPr>
            <w:tcW w:w="800" w:type="dxa"/>
            <w:tcMar>
              <w:top w:w="100" w:type="dxa"/>
              <w:left w:w="100" w:type="dxa"/>
              <w:bottom w:w="100" w:type="dxa"/>
              <w:right w:w="100" w:type="dxa"/>
            </w:tcMar>
          </w:tcPr>
          <w:p w14:paraId="3793DEF1" w14:textId="77777777" w:rsidR="008144F3" w:rsidRDefault="00000000">
            <w:r>
              <w:t>10</w:t>
            </w:r>
          </w:p>
        </w:tc>
        <w:tc>
          <w:tcPr>
            <w:tcW w:w="2500" w:type="dxa"/>
            <w:tcMar>
              <w:top w:w="100" w:type="dxa"/>
              <w:left w:w="100" w:type="dxa"/>
              <w:bottom w:w="100" w:type="dxa"/>
              <w:right w:w="100" w:type="dxa"/>
            </w:tcMar>
          </w:tcPr>
          <w:p w14:paraId="3793DEF2" w14:textId="77777777" w:rsidR="008144F3" w:rsidRDefault="00000000">
            <w:r>
              <w:t>Rename Section 5.4 and reposition</w:t>
            </w:r>
          </w:p>
        </w:tc>
        <w:tc>
          <w:tcPr>
            <w:tcW w:w="1200" w:type="dxa"/>
            <w:tcMar>
              <w:top w:w="100" w:type="dxa"/>
              <w:left w:w="100" w:type="dxa"/>
              <w:bottom w:w="100" w:type="dxa"/>
              <w:right w:w="100" w:type="dxa"/>
            </w:tcMar>
          </w:tcPr>
          <w:p w14:paraId="3793DEF3" w14:textId="77777777" w:rsidR="008144F3" w:rsidRDefault="00000000">
            <w:r>
              <w:t>§5.4</w:t>
            </w:r>
          </w:p>
        </w:tc>
        <w:tc>
          <w:tcPr>
            <w:tcW w:w="1200" w:type="dxa"/>
            <w:tcMar>
              <w:top w:w="100" w:type="dxa"/>
              <w:left w:w="100" w:type="dxa"/>
              <w:bottom w:w="100" w:type="dxa"/>
              <w:right w:w="100" w:type="dxa"/>
            </w:tcMar>
          </w:tcPr>
          <w:p w14:paraId="3793DEF4" w14:textId="77777777" w:rsidR="008144F3" w:rsidRDefault="00000000">
            <w:r>
              <w:t>Low</w:t>
            </w:r>
          </w:p>
        </w:tc>
        <w:tc>
          <w:tcPr>
            <w:tcW w:w="1540" w:type="dxa"/>
            <w:tcMar>
              <w:top w:w="100" w:type="dxa"/>
              <w:left w:w="100" w:type="dxa"/>
              <w:bottom w:w="100" w:type="dxa"/>
              <w:right w:w="100" w:type="dxa"/>
            </w:tcMar>
          </w:tcPr>
          <w:p w14:paraId="3793DEF5" w14:textId="77777777" w:rsidR="008144F3" w:rsidRDefault="00000000">
            <w:r>
              <w:t>Medium — strengthens philosophical contribution</w:t>
            </w:r>
          </w:p>
        </w:tc>
      </w:tr>
    </w:tbl>
    <w:p w14:paraId="3793DEF7" w14:textId="77777777" w:rsidR="008144F3" w:rsidRDefault="00000000">
      <w:r>
        <w:br w:type="page"/>
      </w:r>
    </w:p>
    <w:p w14:paraId="3793DEF8" w14:textId="77777777" w:rsidR="008144F3" w:rsidRDefault="00000000">
      <w:pPr>
        <w:pStyle w:val="Heading1"/>
        <w:pBdr>
          <w:bottom w:val="single" w:sz="12" w:space="1" w:color="000000"/>
        </w:pBdr>
        <w:spacing w:before="400" w:after="200"/>
      </w:pPr>
      <w:r>
        <w:lastRenderedPageBreak/>
        <w:t>SECTION 8: VENUE FIT ASSESSMENT</w:t>
      </w:r>
    </w:p>
    <w:p w14:paraId="3793DEF9" w14:textId="77777777" w:rsidR="008144F3" w:rsidRDefault="00000000">
      <w:pPr>
        <w:pStyle w:val="Heading2"/>
        <w:spacing w:before="300" w:after="150"/>
      </w:pPr>
      <w:r>
        <w:t>Adaptive Behavior (Primary target): STRONG FIT.</w:t>
      </w:r>
    </w:p>
    <w:p w14:paraId="3793DEFA" w14:textId="77777777" w:rsidR="008144F3" w:rsidRDefault="00000000">
      <w:pPr>
        <w:spacing w:after="200" w:line="360" w:lineRule="auto"/>
        <w:jc w:val="both"/>
      </w:pPr>
      <w:r>
        <w:t>This is the natural home for this paper. The Beer/Di Paolo methodological tradition, the CTRNN platform, the evolved agent paradigm, and the explicit engagement with the embodied cognition debate all align with Adaptive Behavior's scope and readership. Word count (~9,400) is within range (8,000-12,000). The paper cites foundational work published in the journal (Beer 1995, Beer 2003). The SAB 2026 extended abstract creates a natural submission pathway.</w:t>
      </w:r>
    </w:p>
    <w:p w14:paraId="3793DEFB" w14:textId="77777777" w:rsidR="008144F3" w:rsidRDefault="00000000">
      <w:pPr>
        <w:pStyle w:val="Heading2"/>
        <w:spacing w:before="300" w:after="150"/>
      </w:pPr>
      <w:r>
        <w:t>Strengths for this venue:</w:t>
      </w:r>
    </w:p>
    <w:p w14:paraId="3793DEFC" w14:textId="77777777" w:rsidR="008144F3" w:rsidRDefault="00000000">
      <w:pPr>
        <w:spacing w:after="200" w:line="360" w:lineRule="auto"/>
        <w:jc w:val="both"/>
      </w:pPr>
      <w:r>
        <w:t>Multi-level mechanistic analysis will appeal to the dynamical systems readership. Ghost condition correction is directly relevant to the journal's methodological tradition. 60-condition design sets a new standard for the field.</w:t>
      </w:r>
    </w:p>
    <w:p w14:paraId="3793DEFD" w14:textId="77777777" w:rsidR="008144F3" w:rsidRDefault="00000000">
      <w:pPr>
        <w:pStyle w:val="Heading2"/>
        <w:spacing w:before="300" w:after="150"/>
      </w:pPr>
      <w:r>
        <w:t>Risks for this venue:</w:t>
      </w:r>
    </w:p>
    <w:p w14:paraId="3793DEFE" w14:textId="77777777" w:rsidR="008144F3" w:rsidRDefault="00000000">
      <w:pPr>
        <w:spacing w:after="200" w:line="360" w:lineRule="auto"/>
        <w:jc w:val="both"/>
      </w:pPr>
      <w:r>
        <w:t xml:space="preserve">Referees familiar with Di Paolo's work may push back on the operationalization of embodiment dependence as too reductive relative to participatory sense-making. The philosophical engagement, while careful, may not satisfy philosophers who referee for the journal. The active inference section may attract scrutiny from free energy </w:t>
      </w:r>
      <w:proofErr w:type="gramStart"/>
      <w:r>
        <w:t>principle</w:t>
      </w:r>
      <w:proofErr w:type="gramEnd"/>
      <w:r>
        <w:t xml:space="preserve"> advocates.</w:t>
      </w:r>
    </w:p>
    <w:p w14:paraId="3793DEFF" w14:textId="77777777" w:rsidR="008144F3" w:rsidRDefault="00000000">
      <w:pPr>
        <w:pStyle w:val="Heading2"/>
        <w:spacing w:before="300" w:after="150"/>
      </w:pPr>
      <w:r>
        <w:t>Alternative venues if rejected:</w:t>
      </w:r>
    </w:p>
    <w:p w14:paraId="3793DF00" w14:textId="77777777" w:rsidR="008144F3" w:rsidRDefault="00000000">
      <w:pPr>
        <w:spacing w:before="100" w:after="200" w:line="360" w:lineRule="auto"/>
      </w:pPr>
      <w:r>
        <w:t>Artificial Life (MIT Press): Good fit. Would appreciate the methodological contribution and the large-scale evolutionary study. Less philosophically demanding.</w:t>
      </w:r>
    </w:p>
    <w:p w14:paraId="3793DF01" w14:textId="77777777" w:rsidR="008144F3" w:rsidRDefault="00000000">
      <w:pPr>
        <w:spacing w:before="100" w:after="200" w:line="360" w:lineRule="auto"/>
      </w:pPr>
      <w:r>
        <w:t>Cognitive Science (Wiley): Possible but risky. Would need to explain CTRNN methodology more accessibly. The philosophical contribution is strong enough for this venue, but the audience is broader.</w:t>
      </w:r>
    </w:p>
    <w:p w14:paraId="3793DF02" w14:textId="77777777" w:rsidR="008144F3" w:rsidRDefault="00000000">
      <w:pPr>
        <w:spacing w:before="100" w:after="200" w:line="360" w:lineRule="auto"/>
      </w:pPr>
      <w:r>
        <w:t>Topics in Cognitive Science: Good fit if a relevant thematic issue is upcoming. The bridge between computation and philosophy is the paper's strength.</w:t>
      </w:r>
    </w:p>
    <w:p w14:paraId="3793DF03" w14:textId="77777777" w:rsidR="008144F3" w:rsidRDefault="00000000">
      <w:r>
        <w:br w:type="page"/>
      </w:r>
    </w:p>
    <w:p w14:paraId="3793DF04" w14:textId="77777777" w:rsidR="008144F3" w:rsidRDefault="00000000">
      <w:pPr>
        <w:pStyle w:val="Heading1"/>
        <w:pBdr>
          <w:bottom w:val="single" w:sz="12" w:space="1" w:color="000000"/>
        </w:pBdr>
        <w:spacing w:before="400" w:after="200"/>
      </w:pPr>
      <w:r>
        <w:lastRenderedPageBreak/>
        <w:t>SECTION 9: PUBLISHABILITY VERDICT</w:t>
      </w:r>
    </w:p>
    <w:p w14:paraId="3793DF05" w14:textId="77777777" w:rsidR="008144F3" w:rsidRDefault="00000000">
      <w:pPr>
        <w:pStyle w:val="Heading2"/>
        <w:spacing w:before="300" w:after="150"/>
      </w:pPr>
      <w:r>
        <w:t>Overall Assessment: Ready for submission to Adaptive Behavior after addressing Priority 1-6 revisions (estimated effort: 1-2 weeks of focused work).</w:t>
      </w:r>
    </w:p>
    <w:p w14:paraId="3793DF06" w14:textId="77777777" w:rsidR="008144F3" w:rsidRDefault="00000000">
      <w:pPr>
        <w:spacing w:after="200" w:line="360" w:lineRule="auto"/>
        <w:jc w:val="both"/>
      </w:pPr>
      <w:r>
        <w:t>The paper makes a genuine contribution on multiple fronts: the corrected ghost conditions are a real methodological advance, the 60-condition design is exemplary for the field, and the multi-level mechanistic account (weight → spectral → attractor → embodiment dependence) is the most thorough dynamical analysis I've seen in an evolved-agent study. The philosophical framing is careful and appropriately hedged. Input sensitivity as the strongest predictor of embodiment dependence is a novel finding that connects to multiple theoretical frameworks.</w:t>
      </w:r>
    </w:p>
    <w:p w14:paraId="3793DF07" w14:textId="77777777" w:rsidR="008144F3" w:rsidRDefault="00000000">
      <w:pPr>
        <w:spacing w:after="200" w:line="360" w:lineRule="auto"/>
        <w:jc w:val="both"/>
      </w:pPr>
      <w:r>
        <w:t>The main risks are: (1) a statistician referee catching the (formerly) missing multiple comparison correction and the partial correlation measurement error issue, and (2) a philosopher referee arguing that embodiment dependence doesn't capture what's philosophically interesting about the constitutive/causal debate. Risk (1) is easily mitigated by the priority revisions above. Risk (2) is inherent to the approach and is well-handled by the paper's explicit hedging—but Section 5.4 should be strengthened and repositioned to preempt it.</w:t>
      </w:r>
    </w:p>
    <w:p w14:paraId="3793DF08" w14:textId="77777777" w:rsidR="008144F3" w:rsidRDefault="00000000">
      <w:pPr>
        <w:spacing w:after="200" w:line="360" w:lineRule="auto"/>
        <w:jc w:val="both"/>
      </w:pPr>
      <w:r>
        <w:t>Verdict: Ready for top specialist venue (Adaptive Behavior) after revision.</w:t>
      </w:r>
    </w:p>
    <w:sectPr w:rsidR="008144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26292"/>
    <w:multiLevelType w:val="hybridMultilevel"/>
    <w:tmpl w:val="1AEACEA6"/>
    <w:lvl w:ilvl="0" w:tplc="764CB65E">
      <w:start w:val="1"/>
      <w:numFmt w:val="bullet"/>
      <w:lvlText w:val="●"/>
      <w:lvlJc w:val="left"/>
      <w:pPr>
        <w:ind w:left="720" w:hanging="360"/>
      </w:pPr>
    </w:lvl>
    <w:lvl w:ilvl="1" w:tplc="D49283C0">
      <w:start w:val="1"/>
      <w:numFmt w:val="bullet"/>
      <w:lvlText w:val="○"/>
      <w:lvlJc w:val="left"/>
      <w:pPr>
        <w:ind w:left="1440" w:hanging="360"/>
      </w:pPr>
    </w:lvl>
    <w:lvl w:ilvl="2" w:tplc="DAE88F50">
      <w:start w:val="1"/>
      <w:numFmt w:val="bullet"/>
      <w:lvlText w:val="■"/>
      <w:lvlJc w:val="left"/>
      <w:pPr>
        <w:ind w:left="2160" w:hanging="360"/>
      </w:pPr>
    </w:lvl>
    <w:lvl w:ilvl="3" w:tplc="75604DEE">
      <w:start w:val="1"/>
      <w:numFmt w:val="bullet"/>
      <w:lvlText w:val="●"/>
      <w:lvlJc w:val="left"/>
      <w:pPr>
        <w:ind w:left="2880" w:hanging="360"/>
      </w:pPr>
    </w:lvl>
    <w:lvl w:ilvl="4" w:tplc="190E72D0">
      <w:start w:val="1"/>
      <w:numFmt w:val="bullet"/>
      <w:lvlText w:val="○"/>
      <w:lvlJc w:val="left"/>
      <w:pPr>
        <w:ind w:left="3600" w:hanging="360"/>
      </w:pPr>
    </w:lvl>
    <w:lvl w:ilvl="5" w:tplc="2194736C">
      <w:start w:val="1"/>
      <w:numFmt w:val="bullet"/>
      <w:lvlText w:val="■"/>
      <w:lvlJc w:val="left"/>
      <w:pPr>
        <w:ind w:left="4320" w:hanging="360"/>
      </w:pPr>
    </w:lvl>
    <w:lvl w:ilvl="6" w:tplc="86781708">
      <w:start w:val="1"/>
      <w:numFmt w:val="bullet"/>
      <w:lvlText w:val="●"/>
      <w:lvlJc w:val="left"/>
      <w:pPr>
        <w:ind w:left="5040" w:hanging="360"/>
      </w:pPr>
    </w:lvl>
    <w:lvl w:ilvl="7" w:tplc="1554A210">
      <w:start w:val="1"/>
      <w:numFmt w:val="bullet"/>
      <w:lvlText w:val="●"/>
      <w:lvlJc w:val="left"/>
      <w:pPr>
        <w:ind w:left="5760" w:hanging="360"/>
      </w:pPr>
    </w:lvl>
    <w:lvl w:ilvl="8" w:tplc="B31CE2B2">
      <w:start w:val="1"/>
      <w:numFmt w:val="bullet"/>
      <w:lvlText w:val="●"/>
      <w:lvlJc w:val="left"/>
      <w:pPr>
        <w:ind w:left="6480" w:hanging="360"/>
      </w:pPr>
    </w:lvl>
  </w:abstractNum>
  <w:num w:numId="1" w16cid:durableId="666715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4F3"/>
    <w:rsid w:val="008144F3"/>
    <w:rsid w:val="00AF22FD"/>
    <w:rsid w:val="00C41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93DE48"/>
  <w15:docId w15:val="{1F16DE66-59D2-1E4D-B0A2-0CFFE25F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2802</Words>
  <Characters>17841</Characters>
  <Application>Microsoft Office Word</Application>
  <DocSecurity>0</DocSecurity>
  <Lines>360</Lines>
  <Paragraphs>165</Paragraphs>
  <ScaleCrop>false</ScaleCrop>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 Lucken</cp:lastModifiedBy>
  <cp:revision>2</cp:revision>
  <dcterms:created xsi:type="dcterms:W3CDTF">2026-02-19T16:28:00Z</dcterms:created>
  <dcterms:modified xsi:type="dcterms:W3CDTF">2026-02-19T16:32:00Z</dcterms:modified>
</cp:coreProperties>
</file>