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20" w:before="480"/>
        <w:jc w:val="center"/>
      </w:pPr>
      <w:r>
        <w:rPr>
          <w:rFonts w:ascii="Calibri" w:cs="Calibri" w:eastAsia="Calibri" w:hAnsi="Calibri"/>
          <w:b/>
          <w:bCs/>
          <w:color w:val="005A8E"/>
          <w:sz w:val="36"/>
          <w:szCs w:val="36"/>
        </w:rPr>
        <w:t xml:space="preserve">CPF GROUP ANALYTICS DASHBOARD</w:t>
      </w:r>
    </w:p>
    <w:p>
      <w:pPr>
        <w:spacing w:after="80" w:before="0"/>
        <w:jc w:val="center"/>
      </w:pPr>
      <w:r>
        <w:rPr>
          <w:rFonts w:ascii="Calibri" w:cs="Calibri" w:eastAsia="Calibri" w:hAnsi="Calibri"/>
          <w:color w:val="444444"/>
          <w:sz w:val="28"/>
          <w:szCs w:val="28"/>
        </w:rPr>
        <w:t xml:space="preserve">Phase 6 — Testing Report</w:t>
      </w:r>
    </w:p>
    <w:p>
      <w:pPr>
        <w:spacing w:after="480" w:before="0"/>
        <w:jc w:val="center"/>
      </w:pPr>
      <w:r>
        <w:rPr>
          <w:rFonts w:ascii="Calibri" w:cs="Calibri" w:eastAsia="Calibri" w:hAnsi="Calibri"/>
          <w:i/>
          <w:iCs/>
          <w:color w:val="888888"/>
          <w:sz w:val="20"/>
          <w:szCs w:val="20"/>
        </w:rPr>
        <w:t xml:space="preserve">October 2026  ·  Prepared by Vincent Collins  ·  v1.0</w:t>
      </w:r>
    </w:p>
    <w:p>
      <w:pPr>
        <w:pBdr>
          <w:bottom w:val="single" w:color="005A8E" w:sz="6"/>
        </w:pBdr>
        <w:spacing w:after="120" w:before="120"/>
      </w:pPr>
      <w:r>
        <w:t xml:space="preserve"/>
      </w:r>
    </w:p>
    <w:p>
      <w:pPr>
        <w:spacing w:after="100" w:before="100"/>
      </w:pPr>
      <w:r>
        <w:t xml:space="preserve"/>
      </w:r>
    </w:p>
    <w:p>
      <w:pPr>
        <w:pStyle w:val="Heading1"/>
        <w:spacing w:after="120" w:before="240"/>
      </w:pPr>
      <w:r>
        <w:rPr>
          <w:rFonts w:ascii="Calibri" w:cs="Calibri" w:eastAsia="Calibri" w:hAnsi="Calibri"/>
          <w:b/>
          <w:bCs/>
          <w:color w:val="005A8E"/>
          <w:sz w:val="28"/>
          <w:szCs w:val="28"/>
        </w:rPr>
        <w:t xml:space="preserve">1. Objective</w:t>
      </w:r>
    </w:p>
    <w:p>
      <w:pPr>
        <w:spacing w:after="60" w:before="60"/>
        <w:jc w:val="left"/>
      </w:pPr>
      <w:r>
        <w:rPr>
          <w:rFonts w:ascii="Calibri" w:cs="Calibri" w:eastAsia="Calibri" w:hAnsi="Calibri"/>
          <w:b w:val="false"/>
          <w:bCs w:val="false"/>
          <w:i w:val="false"/>
          <w:iCs w:val="false"/>
          <w:color w:val="222222"/>
          <w:sz w:val="20"/>
          <w:szCs w:val="20"/>
        </w:rPr>
        <w:t xml:space="preserve">Phase 6 delivered a complete, professional test suite for the CPF Group Analytics Dashboard covering unit logic, local end-to-end behaviour, and live production verification. The goal was zero skipped tests, no hardcoded data, and full green results in both environments.</w:t>
      </w:r>
    </w:p>
    <w:p>
      <w:pPr>
        <w:spacing w:after="100" w:before="100"/>
      </w:pPr>
      <w:r>
        <w:t xml:space="preserve"/>
      </w:r>
    </w:p>
    <w:p>
      <w:pPr>
        <w:pStyle w:val="Heading1"/>
        <w:spacing w:after="120" w:before="240"/>
      </w:pPr>
      <w:r>
        <w:rPr>
          <w:rFonts w:ascii="Calibri" w:cs="Calibri" w:eastAsia="Calibri" w:hAnsi="Calibri"/>
          <w:b/>
          <w:bCs/>
          <w:color w:val="005A8E"/>
          <w:sz w:val="28"/>
          <w:szCs w:val="28"/>
        </w:rPr>
        <w:t xml:space="preserve">2. Test Suites Executed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2000"/>
      </w:tblGrid>
      <w:tr>
        <w:trPr>
          <w:tblHeader/>
        </w:trPr>
        <w:tc>
          <w:tcPr>
            <w:tcW w:type="dxa" w:w="2600"/>
            <w:shd w:fill="005A8E" w:color="auto" w:val="clear"/>
          </w:tcPr>
          <w:p>
            <w:pPr>
              <w:jc w:val="left"/>
            </w:pPr>
            <w:r>
              <w:rPr>
                <w:rFonts w:ascii="Calibri" w:cs="Calibri" w:eastAsia="Calibri" w:hAnsi="Calibri"/>
                <w:b/>
                <w:bCs/>
                <w:color w:val="FFFFFF"/>
                <w:sz w:val="20"/>
                <w:szCs w:val="20"/>
              </w:rPr>
              <w:t xml:space="preserve">Suite</w:t>
            </w:r>
          </w:p>
        </w:tc>
        <w:tc>
          <w:tcPr>
            <w:tcW w:type="dxa" w:w="1600"/>
            <w:shd w:fill="005A8E" w:color="auto" w:val="clear"/>
          </w:tcPr>
          <w:p>
            <w:pPr>
              <w:jc w:val="center"/>
            </w:pPr>
            <w:r>
              <w:rPr>
                <w:rFonts w:ascii="Calibri" w:cs="Calibri" w:eastAsia="Calibri" w:hAnsi="Calibri"/>
                <w:b/>
                <w:bCs/>
                <w:color w:val="FFFFFF"/>
                <w:sz w:val="20"/>
                <w:szCs w:val="20"/>
              </w:rPr>
              <w:t xml:space="preserve">Count</w:t>
            </w:r>
          </w:p>
        </w:tc>
        <w:tc>
          <w:tcPr>
            <w:tcW w:type="dxa" w:w="1600"/>
            <w:shd w:fill="005A8E" w:color="auto" w:val="clear"/>
          </w:tcPr>
          <w:p>
            <w:pPr>
              <w:jc w:val="center"/>
            </w:pPr>
            <w:r>
              <w:rPr>
                <w:rFonts w:ascii="Calibri" w:cs="Calibri" w:eastAsia="Calibri" w:hAnsi="Calibri"/>
                <w:b/>
                <w:bCs/>
                <w:color w:val="FFFFFF"/>
                <w:sz w:val="20"/>
                <w:szCs w:val="20"/>
              </w:rPr>
              <w:t xml:space="preserve">Passed</w:t>
            </w:r>
          </w:p>
        </w:tc>
        <w:tc>
          <w:tcPr>
            <w:tcW w:type="dxa" w:w="2000"/>
            <w:shd w:fill="005A8E" w:color="auto" w:val="clear"/>
          </w:tcPr>
          <w:p>
            <w:pPr>
              <w:jc w:val="left"/>
            </w:pPr>
            <w:r>
              <w:rPr>
                <w:rFonts w:ascii="Calibri" w:cs="Calibri" w:eastAsia="Calibri" w:hAnsi="Calibri"/>
                <w:b/>
                <w:bCs/>
                <w:color w:val="FFFFFF"/>
                <w:sz w:val="20"/>
                <w:szCs w:val="20"/>
              </w:rPr>
              <w:t xml:space="preserve">Environment</w:t>
            </w:r>
          </w:p>
        </w:tc>
      </w:tr>
      <w:tr>
        <w:tc>
          <w:tcPr>
            <w:tcW w:type="dxa" w:w="2600"/>
            <w:shd w:fill="F5F9FC" w:color="auto" w:val="clear"/>
          </w:tcPr>
          <w:p>
            <w:pPr>
              <w:jc w:val="left"/>
            </w:pPr>
            <w:r>
              <w:rPr>
                <w:rFonts w:ascii="Calibri" w:cs="Calibri" w:eastAsia="Calibri" w:hAnsi="Calibri"/>
                <w:b w:val="false"/>
                <w:bCs w:val="false"/>
                <w:color w:val="000000"/>
                <w:sz w:val="20"/>
                <w:szCs w:val="20"/>
              </w:rPr>
              <w:t xml:space="preserve">Unit tests (Vitest)</w:t>
            </w:r>
          </w:p>
        </w:tc>
        <w:tc>
          <w:tcPr>
            <w:tcW w:type="dxa" w:w="1600"/>
            <w:shd w:fill="F5F9FC" w:color="auto" w:val="clear"/>
          </w:tcPr>
          <w:p>
            <w:pPr>
              <w:jc w:val="center"/>
            </w:pPr>
            <w:r>
              <w:rPr>
                <w:rFonts w:ascii="Calibri" w:cs="Calibri" w:eastAsia="Calibri" w:hAnsi="Calibri"/>
                <w:b w:val="false"/>
                <w:bCs w:val="false"/>
                <w:color w:val="000000"/>
                <w:sz w:val="20"/>
                <w:szCs w:val="20"/>
              </w:rPr>
              <w:t xml:space="preserve">62</w:t>
            </w:r>
          </w:p>
        </w:tc>
        <w:tc>
          <w:tcPr>
            <w:tcW w:type="dxa" w:w="1600"/>
            <w:shd w:fill="F5F9FC" w:color="auto" w:val="clear"/>
          </w:tcPr>
          <w:p>
            <w:pPr>
              <w:jc w:val="center"/>
            </w:pPr>
            <w:r>
              <w:rPr>
                <w:rFonts w:ascii="Calibri" w:cs="Calibri" w:eastAsia="Calibri" w:hAnsi="Calibri"/>
                <w:b w:val="false"/>
                <w:bCs w:val="false"/>
                <w:color w:val="000000"/>
                <w:sz w:val="20"/>
                <w:szCs w:val="20"/>
              </w:rPr>
              <w:t xml:space="preserve">62 ✓</w:t>
            </w:r>
          </w:p>
        </w:tc>
        <w:tc>
          <w:tcPr>
            <w:tcW w:type="dxa" w:w="2000"/>
            <w:shd w:fill="F5F9FC" w:color="auto" w:val="clear"/>
          </w:tcPr>
          <w:p>
            <w:pPr>
              <w:jc w:val="left"/>
            </w:pPr>
            <w:r>
              <w:rPr>
                <w:rFonts w:ascii="Calibri" w:cs="Calibri" w:eastAsia="Calibri" w:hAnsi="Calibri"/>
                <w:b w:val="false"/>
                <w:bCs w:val="false"/>
                <w:color w:val="000000"/>
                <w:sz w:val="20"/>
                <w:szCs w:val="20"/>
              </w:rPr>
              <w:t xml:space="preserve">Local (node)</w:t>
            </w:r>
          </w:p>
        </w:tc>
      </w:tr>
      <w:tr>
        <w:tc>
          <w:tcPr>
            <w:tcW w:type="dxa" w:w="2600"/>
          </w:tcPr>
          <w:p>
            <w:pPr>
              <w:jc w:val="left"/>
            </w:pPr>
            <w:r>
              <w:rPr>
                <w:rFonts w:ascii="Calibri" w:cs="Calibri" w:eastAsia="Calibri" w:hAnsi="Calibri"/>
                <w:b w:val="false"/>
                <w:bCs w:val="false"/>
                <w:color w:val="000000"/>
                <w:sz w:val="20"/>
                <w:szCs w:val="20"/>
              </w:rPr>
              <w:t xml:space="preserve">Local E2E (Playwright)</w:t>
            </w:r>
          </w:p>
        </w:tc>
        <w:tc>
          <w:tcPr>
            <w:tcW w:type="dxa" w:w="1600"/>
          </w:tcPr>
          <w:p>
            <w:pPr>
              <w:jc w:val="center"/>
            </w:pPr>
            <w:r>
              <w:rPr>
                <w:rFonts w:ascii="Calibri" w:cs="Calibri" w:eastAsia="Calibri" w:hAnsi="Calibri"/>
                <w:b w:val="false"/>
                <w:bCs w:val="false"/>
                <w:color w:val="000000"/>
                <w:sz w:val="20"/>
                <w:szCs w:val="20"/>
              </w:rPr>
              <w:t xml:space="preserve">76</w:t>
            </w:r>
          </w:p>
        </w:tc>
        <w:tc>
          <w:tcPr>
            <w:tcW w:type="dxa" w:w="1600"/>
          </w:tcPr>
          <w:p>
            <w:pPr>
              <w:jc w:val="center"/>
            </w:pPr>
            <w:r>
              <w:rPr>
                <w:rFonts w:ascii="Calibri" w:cs="Calibri" w:eastAsia="Calibri" w:hAnsi="Calibri"/>
                <w:b w:val="false"/>
                <w:bCs w:val="false"/>
                <w:color w:val="000000"/>
                <w:sz w:val="20"/>
                <w:szCs w:val="20"/>
              </w:rPr>
              <w:t xml:space="preserve">76 ✓</w:t>
            </w:r>
          </w:p>
        </w:tc>
        <w:tc>
          <w:tcPr>
            <w:tcW w:type="dxa" w:w="2000"/>
          </w:tcPr>
          <w:p>
            <w:pPr>
              <w:jc w:val="left"/>
            </w:pPr>
            <w:r>
              <w:rPr>
                <w:rFonts w:ascii="Calibri" w:cs="Calibri" w:eastAsia="Calibri" w:hAnsi="Calibri"/>
                <w:b w:val="false"/>
                <w:bCs w:val="false"/>
                <w:color w:val="000000"/>
                <w:sz w:val="20"/>
                <w:szCs w:val="20"/>
              </w:rPr>
              <w:t xml:space="preserve">localhost:3000</w:t>
            </w:r>
          </w:p>
        </w:tc>
      </w:tr>
      <w:tr>
        <w:tc>
          <w:tcPr>
            <w:tcW w:type="dxa" w:w="2600"/>
            <w:shd w:fill="F5F9FC" w:color="auto" w:val="clear"/>
          </w:tcPr>
          <w:p>
            <w:pPr>
              <w:jc w:val="left"/>
            </w:pPr>
            <w:r>
              <w:rPr>
                <w:rFonts w:ascii="Calibri" w:cs="Calibri" w:eastAsia="Calibri" w:hAnsi="Calibri"/>
                <w:b w:val="false"/>
                <w:bCs w:val="false"/>
                <w:color w:val="000000"/>
                <w:sz w:val="20"/>
                <w:szCs w:val="20"/>
              </w:rPr>
              <w:t xml:space="preserve">Production E2E (Playwright)</w:t>
            </w:r>
          </w:p>
        </w:tc>
        <w:tc>
          <w:tcPr>
            <w:tcW w:type="dxa" w:w="1600"/>
            <w:shd w:fill="F5F9FC" w:color="auto" w:val="clear"/>
          </w:tcPr>
          <w:p>
            <w:pPr>
              <w:jc w:val="center"/>
            </w:pPr>
            <w:r>
              <w:rPr>
                <w:rFonts w:ascii="Calibri" w:cs="Calibri" w:eastAsia="Calibri" w:hAnsi="Calibri"/>
                <w:b w:val="false"/>
                <w:bCs w:val="false"/>
                <w:color w:val="000000"/>
                <w:sz w:val="20"/>
                <w:szCs w:val="20"/>
              </w:rPr>
              <w:t xml:space="preserve">30</w:t>
            </w:r>
          </w:p>
        </w:tc>
        <w:tc>
          <w:tcPr>
            <w:tcW w:type="dxa" w:w="1600"/>
            <w:shd w:fill="F5F9FC" w:color="auto" w:val="clear"/>
          </w:tcPr>
          <w:p>
            <w:pPr>
              <w:jc w:val="center"/>
            </w:pPr>
            <w:r>
              <w:rPr>
                <w:rFonts w:ascii="Calibri" w:cs="Calibri" w:eastAsia="Calibri" w:hAnsi="Calibri"/>
                <w:b w:val="false"/>
                <w:bCs w:val="false"/>
                <w:color w:val="000000"/>
                <w:sz w:val="20"/>
                <w:szCs w:val="20"/>
              </w:rPr>
              <w:t xml:space="preserve">30 ✓</w:t>
            </w:r>
          </w:p>
        </w:tc>
        <w:tc>
          <w:tcPr>
            <w:tcW w:type="dxa" w:w="2000"/>
            <w:shd w:fill="F5F9FC" w:color="auto" w:val="clear"/>
          </w:tcPr>
          <w:p>
            <w:pPr>
              <w:jc w:val="left"/>
            </w:pPr>
            <w:r>
              <w:rPr>
                <w:rFonts w:ascii="Calibri" w:cs="Calibri" w:eastAsia="Calibri" w:hAnsi="Calibri"/>
                <w:b w:val="false"/>
                <w:bCs w:val="false"/>
                <w:color w:val="000000"/>
                <w:sz w:val="20"/>
                <w:szCs w:val="20"/>
              </w:rPr>
              <w:t xml:space="preserve">cpf-dashboard-tau.vercel.app</w:t>
            </w:r>
          </w:p>
        </w:tc>
      </w:tr>
      <w:tr>
        <w:tc>
          <w:tcPr>
            <w:tcW w:type="dxa" w:w="2600"/>
          </w:tcPr>
          <w:p>
            <w:pPr>
              <w:jc w:val="left"/>
            </w:pPr>
            <w:r>
              <w:rPr>
                <w:rFonts w:ascii="Calibri" w:cs="Calibri" w:eastAsia="Calibri" w:hAnsi="Calibri"/>
                <w:b/>
                <w:bCs/>
                <w:color w:val="000000"/>
                <w:sz w:val="20"/>
                <w:szCs w:val="20"/>
              </w:rPr>
              <w:t xml:space="preserve">TOTAL</w:t>
            </w:r>
          </w:p>
        </w:tc>
        <w:tc>
          <w:tcPr>
            <w:tcW w:type="dxa" w:w="1600"/>
          </w:tcPr>
          <w:p>
            <w:pPr>
              <w:jc w:val="center"/>
            </w:pPr>
            <w:r>
              <w:rPr>
                <w:rFonts w:ascii="Calibri" w:cs="Calibri" w:eastAsia="Calibri" w:hAnsi="Calibri"/>
                <w:b/>
                <w:bCs/>
                <w:color w:val="000000"/>
                <w:sz w:val="20"/>
                <w:szCs w:val="20"/>
              </w:rPr>
              <w:t xml:space="preserve">168</w:t>
            </w:r>
          </w:p>
        </w:tc>
        <w:tc>
          <w:tcPr>
            <w:tcW w:type="dxa" w:w="1600"/>
          </w:tcPr>
          <w:p>
            <w:pPr>
              <w:jc w:val="center"/>
            </w:pPr>
            <w:r>
              <w:rPr>
                <w:rFonts w:ascii="Calibri" w:cs="Calibri" w:eastAsia="Calibri" w:hAnsi="Calibri"/>
                <w:b/>
                <w:bCs/>
                <w:color w:val="000000"/>
                <w:sz w:val="20"/>
                <w:szCs w:val="20"/>
              </w:rPr>
              <w:t xml:space="preserve">168 ✓</w:t>
            </w:r>
          </w:p>
        </w:tc>
        <w:tc>
          <w:tcPr>
            <w:tcW w:type="dxa" w:w="2000"/>
          </w:tcPr>
          <w:p>
            <w:pPr>
              <w:jc w:val="left"/>
            </w:pPr>
            <w:r>
              <w:rPr>
                <w:rFonts w:ascii="Calibri" w:cs="Calibri" w:eastAsia="Calibri" w:hAnsi="Calibri"/>
                <w:b w:val="false"/>
                <w:bCs w:val="false"/>
                <w:color w:val="000000"/>
                <w:sz w:val="20"/>
                <w:szCs w:val="20"/>
              </w:rPr>
              <w:t xml:space="preserve">Local + Production</w:t>
            </w:r>
          </w:p>
        </w:tc>
      </w:tr>
    </w:tbl>
    <w:p>
      <w:pPr>
        <w:spacing w:after="100" w:before="100"/>
      </w:pPr>
      <w:r>
        <w:t xml:space="preserve"/>
      </w:r>
    </w:p>
    <w:p>
      <w:pPr>
        <w:spacing w:after="60" w:before="60"/>
        <w:jc w:val="left"/>
      </w:pPr>
      <w:r>
        <w:rPr>
          <w:rFonts w:ascii="Calibri" w:cs="Calibri" w:eastAsia="Calibri" w:hAnsi="Calibri"/>
          <w:b w:val="false"/>
          <w:bCs w:val="false"/>
          <w:i/>
          <w:iCs/>
          <w:color w:val="005A8E"/>
          <w:sz w:val="20"/>
          <w:szCs w:val="20"/>
        </w:rPr>
        <w:t xml:space="preserve">All 168 tests pass with no skips, no hardcoded values, and no Playwright timeouts.</w:t>
      </w:r>
    </w:p>
    <w:p>
      <w:pPr>
        <w:spacing w:after="100" w:before="100"/>
      </w:pPr>
      <w:r>
        <w:t xml:space="preserve"/>
      </w:r>
    </w:p>
    <w:p>
      <w:pPr>
        <w:pStyle w:val="Heading1"/>
        <w:spacing w:after="120" w:before="240"/>
      </w:pPr>
      <w:r>
        <w:rPr>
          <w:rFonts w:ascii="Calibri" w:cs="Calibri" w:eastAsia="Calibri" w:hAnsi="Calibri"/>
          <w:b/>
          <w:bCs/>
          <w:color w:val="005A8E"/>
          <w:sz w:val="28"/>
          <w:szCs w:val="28"/>
        </w:rPr>
        <w:t xml:space="preserve">3. Coverage by Section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tblGrid>
      <w:tr>
        <w:trPr>
          <w:tblHeader/>
        </w:trPr>
        <w:tc>
          <w:tcPr>
            <w:tcW w:type="dxa" w:w="1400"/>
            <w:shd w:fill="005A8E" w:color="auto" w:val="clear"/>
          </w:tcPr>
          <w:p>
            <w:pPr>
              <w:jc w:val="left"/>
            </w:pPr>
            <w:r>
              <w:rPr>
                <w:rFonts w:ascii="Calibri" w:cs="Calibri" w:eastAsia="Calibri" w:hAnsi="Calibri"/>
                <w:b/>
                <w:bCs/>
                <w:color w:val="FFFFFF"/>
                <w:sz w:val="20"/>
                <w:szCs w:val="20"/>
              </w:rPr>
              <w:t xml:space="preserve">Section</w:t>
            </w:r>
          </w:p>
        </w:tc>
        <w:tc>
          <w:tcPr>
            <w:tcW w:type="dxa" w:w="3200"/>
            <w:shd w:fill="005A8E" w:color="auto" w:val="clear"/>
          </w:tcPr>
          <w:p>
            <w:pPr>
              <w:jc w:val="left"/>
            </w:pPr>
            <w:r>
              <w:rPr>
                <w:rFonts w:ascii="Calibri" w:cs="Calibri" w:eastAsia="Calibri" w:hAnsi="Calibri"/>
                <w:b/>
                <w:bCs/>
                <w:color w:val="FFFFFF"/>
                <w:sz w:val="20"/>
                <w:szCs w:val="20"/>
              </w:rPr>
              <w:t xml:space="preserve">What was tested</w:t>
            </w:r>
          </w:p>
        </w:tc>
        <w:tc>
          <w:tcPr>
            <w:tcW w:type="dxa" w:w="3200"/>
            <w:shd w:fill="005A8E" w:color="auto" w:val="clear"/>
          </w:tcPr>
          <w:p>
            <w:pPr>
              <w:jc w:val="left"/>
            </w:pPr>
            <w:r>
              <w:rPr>
                <w:rFonts w:ascii="Calibri" w:cs="Calibri" w:eastAsia="Calibri" w:hAnsi="Calibri"/>
                <w:b/>
                <w:bCs/>
                <w:color w:val="FFFFFF"/>
                <w:sz w:val="20"/>
                <w:szCs w:val="20"/>
              </w:rPr>
              <w:t xml:space="preserve">Tools / Files</w:t>
            </w:r>
          </w:p>
        </w:tc>
      </w:tr>
      <w:tr>
        <w:trPr>
          <w:tblHeader w:val="off"/>
        </w:trPr>
        <w:tc>
          <w:tcPr>
            <w:tcW w:type="dxa" w:w="1400"/>
            <w:shd w:fill="FFFFFF" w:color="auto" w:val="clear"/>
          </w:tcPr>
          <w:p>
            <w:pPr>
              <w:jc w:val="left"/>
            </w:pPr>
            <w:r>
              <w:rPr>
                <w:rFonts w:ascii="Calibri" w:cs="Calibri" w:eastAsia="Calibri" w:hAnsi="Calibri"/>
                <w:b w:val="false"/>
                <w:bCs w:val="false"/>
                <w:color w:val="000000"/>
                <w:sz w:val="18"/>
                <w:szCs w:val="18"/>
              </w:rPr>
              <w:t xml:space="preserve">A — Data Layer</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Supabase queries, row-level security, data freshness</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Vitest (unit)</w:t>
            </w:r>
          </w:p>
        </w:tc>
      </w:tr>
      <w:tr>
        <w:trPr>
          <w:tblHeader w:val="off"/>
        </w:trPr>
        <w:tc>
          <w:tcPr>
            <w:tcW w:type="dxa" w:w="1400"/>
            <w:shd w:fill="F5F9FC" w:color="auto" w:val="clear"/>
          </w:tcPr>
          <w:p>
            <w:pPr>
              <w:jc w:val="left"/>
            </w:pPr>
            <w:r>
              <w:rPr>
                <w:rFonts w:ascii="Calibri" w:cs="Calibri" w:eastAsia="Calibri" w:hAnsi="Calibri"/>
                <w:b w:val="false"/>
                <w:bCs w:val="false"/>
                <w:color w:val="000000"/>
                <w:sz w:val="18"/>
                <w:szCs w:val="18"/>
              </w:rPr>
              <w:t xml:space="preserve">B — Orchestration</w:t>
            </w:r>
          </w:p>
        </w:tc>
        <w:tc>
          <w:tcPr>
            <w:tcW w:type="dxa" w:w="3200"/>
            <w:shd w:fill="F5F9FC" w:color="auto" w:val="clear"/>
          </w:tcPr>
          <w:p>
            <w:pPr>
              <w:jc w:val="left"/>
            </w:pPr>
            <w:r>
              <w:rPr>
                <w:rFonts w:ascii="Calibri" w:cs="Calibri" w:eastAsia="Calibri" w:hAnsi="Calibri"/>
                <w:b w:val="false"/>
                <w:bCs w:val="false"/>
                <w:color w:val="000000"/>
                <w:sz w:val="18"/>
                <w:szCs w:val="18"/>
              </w:rPr>
              <w:t xml:space="preserve">Period buckets (MoM/QoQ/YTD), delta formatting, searchCatalog, refresh meta</w:t>
            </w:r>
          </w:p>
        </w:tc>
        <w:tc>
          <w:tcPr>
            <w:tcW w:type="dxa" w:w="3200"/>
            <w:shd w:fill="F5F9FC" w:color="auto" w:val="clear"/>
          </w:tcPr>
          <w:p>
            <w:pPr>
              <w:jc w:val="left"/>
            </w:pPr>
            <w:r>
              <w:rPr>
                <w:rFonts w:ascii="Calibri" w:cs="Calibri" w:eastAsia="Calibri" w:hAnsi="Calibri"/>
                <w:b w:val="false"/>
                <w:bCs w:val="false"/>
                <w:color w:val="000000"/>
                <w:sz w:val="18"/>
                <w:szCs w:val="18"/>
              </w:rPr>
              <w:t xml:space="preserve">orchestration-period-buckets.test.ts</w:t>
            </w:r>
          </w:p>
        </w:tc>
      </w:tr>
      <w:tr>
        <w:trPr>
          <w:tblHeader w:val="off"/>
        </w:trPr>
        <w:tc>
          <w:tcPr>
            <w:tcW w:type="dxa" w:w="1400"/>
            <w:shd w:fill="FFFFFF" w:color="auto" w:val="clear"/>
          </w:tcPr>
          <w:p>
            <w:pPr>
              <w:jc w:val="left"/>
            </w:pPr>
            <w:r>
              <w:rPr>
                <w:rFonts w:ascii="Calibri" w:cs="Calibri" w:eastAsia="Calibri" w:hAnsi="Calibri"/>
                <w:b w:val="false"/>
                <w:bCs w:val="false"/>
                <w:color w:val="000000"/>
                <w:sz w:val="18"/>
                <w:szCs w:val="18"/>
              </w:rPr>
              <w:t xml:space="preserve">C — Chart/Tile Alignment</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Y-axis scales match between KPI tiles and TrendChart / QoQTrendChart values</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phase5-acceptance.spec.ts, production-safe.spec.ts</w:t>
            </w:r>
          </w:p>
        </w:tc>
      </w:tr>
      <w:tr>
        <w:trPr>
          <w:tblHeader w:val="off"/>
        </w:trPr>
        <w:tc>
          <w:tcPr>
            <w:tcW w:type="dxa" w:w="1400"/>
            <w:shd w:fill="F5F9FC" w:color="auto" w:val="clear"/>
          </w:tcPr>
          <w:p>
            <w:pPr>
              <w:jc w:val="left"/>
            </w:pPr>
            <w:r>
              <w:rPr>
                <w:rFonts w:ascii="Calibri" w:cs="Calibri" w:eastAsia="Calibri" w:hAnsi="Calibri"/>
                <w:b w:val="false"/>
                <w:bCs w:val="false"/>
                <w:color w:val="000000"/>
                <w:sz w:val="18"/>
                <w:szCs w:val="18"/>
              </w:rPr>
              <w:t xml:space="preserve">D — Routes</w:t>
            </w:r>
          </w:p>
        </w:tc>
        <w:tc>
          <w:tcPr>
            <w:tcW w:type="dxa" w:w="3200"/>
            <w:shd w:fill="F5F9FC" w:color="auto" w:val="clear"/>
          </w:tcPr>
          <w:p>
            <w:pPr>
              <w:jc w:val="left"/>
            </w:pPr>
            <w:r>
              <w:rPr>
                <w:rFonts w:ascii="Calibri" w:cs="Calibri" w:eastAsia="Calibri" w:hAnsi="Calibri"/>
                <w:b w:val="false"/>
                <w:bCs w:val="false"/>
                <w:color w:val="000000"/>
                <w:sz w:val="18"/>
                <w:szCs w:val="18"/>
              </w:rPr>
              <w:t xml:space="preserve">All 8 routes (/, /rukisha, /cpf-financial-services, /cpf-capital-advisory, /group, /about, /login, ?service= param) load without JS errors</w:t>
            </w:r>
          </w:p>
        </w:tc>
        <w:tc>
          <w:tcPr>
            <w:tcW w:type="dxa" w:w="3200"/>
            <w:shd w:fill="F5F9FC" w:color="auto" w:val="clear"/>
          </w:tcPr>
          <w:p>
            <w:pPr>
              <w:jc w:val="left"/>
            </w:pPr>
            <w:r>
              <w:rPr>
                <w:rFonts w:ascii="Calibri" w:cs="Calibri" w:eastAsia="Calibri" w:hAnsi="Calibri"/>
                <w:b w:val="false"/>
                <w:bCs w:val="false"/>
                <w:color w:val="000000"/>
                <w:sz w:val="18"/>
                <w:szCs w:val="18"/>
              </w:rPr>
              <w:t xml:space="preserve">production-safe.spec.ts</w:t>
            </w:r>
          </w:p>
        </w:tc>
      </w:tr>
      <w:tr>
        <w:trPr>
          <w:tblHeader w:val="off"/>
        </w:trPr>
        <w:tc>
          <w:tcPr>
            <w:tcW w:type="dxa" w:w="1400"/>
            <w:shd w:fill="FFFFFF" w:color="auto" w:val="clear"/>
          </w:tcPr>
          <w:p>
            <w:pPr>
              <w:jc w:val="left"/>
            </w:pPr>
            <w:r>
              <w:rPr>
                <w:rFonts w:ascii="Calibri" w:cs="Calibri" w:eastAsia="Calibri" w:hAnsi="Calibri"/>
                <w:b w:val="false"/>
                <w:bCs w:val="false"/>
                <w:color w:val="000000"/>
                <w:sz w:val="18"/>
                <w:szCs w:val="18"/>
              </w:rPr>
              <w:t xml:space="preserve">E — UI Interactions</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Profile dropdown, search (match / empty state / new-tab), alerts panel, chart period switching, KPI tooltips, responsive layout, stress test</w:t>
            </w:r>
          </w:p>
        </w:tc>
        <w:tc>
          <w:tcPr>
            <w:tcW w:type="dxa" w:w="3200"/>
            <w:shd w:fill="FFFFFF" w:color="auto" w:val="clear"/>
          </w:tcPr>
          <w:p>
            <w:pPr>
              <w:jc w:val="left"/>
            </w:pPr>
            <w:r>
              <w:rPr>
                <w:rFonts w:ascii="Calibri" w:cs="Calibri" w:eastAsia="Calibri" w:hAnsi="Calibri"/>
                <w:b w:val="false"/>
                <w:bCs w:val="false"/>
                <w:color w:val="000000"/>
                <w:sz w:val="18"/>
                <w:szCs w:val="18"/>
              </w:rPr>
              <w:t xml:space="preserve">phase5-ui-enhancements.spec.ts, production-safe.spec.ts</w:t>
            </w:r>
          </w:p>
        </w:tc>
      </w:tr>
    </w:tbl>
    <w:p>
      <w:pPr>
        <w:spacing w:after="100" w:before="100"/>
      </w:pPr>
      <w:r>
        <w:t xml:space="preserve"/>
      </w:r>
    </w:p>
    <w:p>
      <w:r>
        <w:br w:type="page"/>
      </w:r>
    </w:p>
    <w:p>
      <w:pPr>
        <w:pStyle w:val="Heading1"/>
        <w:spacing w:after="120" w:before="240"/>
      </w:pPr>
      <w:r>
        <w:rPr>
          <w:rFonts w:ascii="Calibri" w:cs="Calibri" w:eastAsia="Calibri" w:hAnsi="Calibri"/>
          <w:b/>
          <w:bCs/>
          <w:color w:val="005A8E"/>
          <w:sz w:val="28"/>
          <w:szCs w:val="28"/>
        </w:rPr>
        <w:t xml:space="preserve">4. Issues Found &amp; Fixes Applied</w:t>
      </w:r>
    </w:p>
    <w:p>
      <w:pPr>
        <w:spacing w:after="60" w:before="60"/>
        <w:jc w:val="left"/>
      </w:pPr>
      <w:r>
        <w:rPr>
          <w:rFonts w:ascii="Calibri" w:cs="Calibri" w:eastAsia="Calibri" w:hAnsi="Calibri"/>
          <w:b w:val="false"/>
          <w:bCs w:val="false"/>
          <w:i w:val="false"/>
          <w:iCs w:val="false"/>
          <w:color w:val="222222"/>
          <w:sz w:val="20"/>
          <w:szCs w:val="20"/>
        </w:rPr>
        <w:t xml:space="preserve">15 issues were identified across unit, local E2E, and production suites. The table below lists each issue with its root cause and the fix that was applied.</w:t>
      </w:r>
    </w:p>
    <w:p>
      <w:pPr>
        <w:spacing w:after="100" w:before="10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800"/>
        <w:gridCol w:w="2200"/>
        <w:gridCol w:w="2100"/>
      </w:tblGrid>
      <w:tr>
        <w:trPr>
          <w:tblHeader/>
        </w:trPr>
        <w:tc>
          <w:tcPr>
            <w:tcW w:type="dxa" w:w="600"/>
            <w:shd w:fill="005A8E" w:color="auto" w:val="clear"/>
          </w:tcPr>
          <w:p>
            <w:pPr>
              <w:jc w:val="center"/>
            </w:pPr>
            <w:r>
              <w:rPr>
                <w:rFonts w:ascii="Calibri" w:cs="Calibri" w:eastAsia="Calibri" w:hAnsi="Calibri"/>
                <w:b/>
                <w:bCs/>
                <w:color w:val="FFFFFF"/>
                <w:sz w:val="20"/>
                <w:szCs w:val="20"/>
              </w:rPr>
              <w:t xml:space="preserve">#</w:t>
            </w:r>
          </w:p>
        </w:tc>
        <w:tc>
          <w:tcPr>
            <w:tcW w:type="dxa" w:w="1100"/>
            <w:shd w:fill="005A8E" w:color="auto" w:val="clear"/>
          </w:tcPr>
          <w:p>
            <w:pPr>
              <w:jc w:val="left"/>
            </w:pPr>
            <w:r>
              <w:rPr>
                <w:rFonts w:ascii="Calibri" w:cs="Calibri" w:eastAsia="Calibri" w:hAnsi="Calibri"/>
                <w:b/>
                <w:bCs/>
                <w:color w:val="FFFFFF"/>
                <w:sz w:val="20"/>
                <w:szCs w:val="20"/>
              </w:rPr>
              <w:t xml:space="preserve">Test(s)</w:t>
            </w:r>
          </w:p>
        </w:tc>
        <w:tc>
          <w:tcPr>
            <w:tcW w:type="dxa" w:w="1800"/>
            <w:shd w:fill="005A8E" w:color="auto" w:val="clear"/>
          </w:tcPr>
          <w:p>
            <w:pPr>
              <w:jc w:val="left"/>
            </w:pPr>
            <w:r>
              <w:rPr>
                <w:rFonts w:ascii="Calibri" w:cs="Calibri" w:eastAsia="Calibri" w:hAnsi="Calibri"/>
                <w:b/>
                <w:bCs/>
                <w:color w:val="FFFFFF"/>
                <w:sz w:val="20"/>
                <w:szCs w:val="20"/>
              </w:rPr>
              <w:t xml:space="preserve">Issue</w:t>
            </w:r>
          </w:p>
        </w:tc>
        <w:tc>
          <w:tcPr>
            <w:tcW w:type="dxa" w:w="2200"/>
            <w:shd w:fill="005A8E" w:color="auto" w:val="clear"/>
          </w:tcPr>
          <w:p>
            <w:pPr>
              <w:jc w:val="left"/>
            </w:pPr>
            <w:r>
              <w:rPr>
                <w:rFonts w:ascii="Calibri" w:cs="Calibri" w:eastAsia="Calibri" w:hAnsi="Calibri"/>
                <w:b/>
                <w:bCs/>
                <w:color w:val="FFFFFF"/>
                <w:sz w:val="20"/>
                <w:szCs w:val="20"/>
              </w:rPr>
              <w:t xml:space="preserve">Root Cause</w:t>
            </w:r>
          </w:p>
        </w:tc>
        <w:tc>
          <w:tcPr>
            <w:tcW w:type="dxa" w:w="2100"/>
            <w:shd w:fill="005A8E" w:color="auto" w:val="clear"/>
          </w:tcPr>
          <w:p>
            <w:pPr>
              <w:jc w:val="left"/>
            </w:pPr>
            <w:r>
              <w:rPr>
                <w:rFonts w:ascii="Calibri" w:cs="Calibri" w:eastAsia="Calibri" w:hAnsi="Calibri"/>
                <w:b/>
                <w:bCs/>
                <w:color w:val="FFFFFF"/>
                <w:sz w:val="20"/>
                <w:szCs w:val="20"/>
              </w:rPr>
              <w:t xml:space="preserve">Fix Applied</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1</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phase5-acceptance
KPI tile count</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≥12 KPI tiles expected; only 4 found</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SubsidiaryContent renders ONE pillar at a time via service dropdown</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Changed assertion to ≥4</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2</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phase5-ui
Search placeholder</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getByPlaceholder('Search KPIs, Rukisha…') timed out</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Actual placeholder text differs from what tests expected</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Updated to 'Search KPIs, services, subsidiaries…' in all specs</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3</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phase5-ui
Footer links</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Export button caused target=_blank assertion failure</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Export is a &lt;button&gt; element, not an &lt;a&gt; tag</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Skip elements with tagName === 'button'</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4</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phase5-ui
Nav new tab</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waitForTimeout(500) caused flaky test</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Race condition between navigation and assertion</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Changed to context.waitForEvent('page')</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5</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phase5-ui
Transaction Value KPI</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Tile not found</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KPI is in 'Payments &amp; Transfers' pillar, not default 'Lending'</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Added selectOption('Payments &amp; Transfers') before tile lookup</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6</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phase5-ui
QoQ chart</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.chartlabel selector timed out</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QoQTrendChart uses .qoqcharttitle, not .chartlabel</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Assert .qoqhalfcard visibility instead</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7</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phase5-ui
Stress test Profile</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getByRole('button',{name:'Profile'}) matched multiple nodes</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Both .avatarbtn and modal button share 'Profile' accessible name</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Switched to .locator('.avatarbtn')</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8</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phase5-ui
Search result new tab</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context.waitForEvent('page') timed out</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setSearchQuery('') DOM change races with click navigation</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Assert target='_blank' attribute directly</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9</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unit U-55/56/57
searchCatalog</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Tests silently skipped; never executed</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require('@/…') CJS dynamic require doesn't resolve @ alias in Vitest</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Added static ESM import; removed defensive skip logic</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10</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Portfolio Value tile</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Test used hardcoded KES 164.74M value</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Value differs from DB; test would fail if DB is updated</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Replaced with regex /KES\s[\d.,]+[KMBT]?/ dynamic check</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11</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Production build</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Turbopack 'exactly one entry' error on next build</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Next.js 16 defaults to Turbopack; next/font/google with weight arrays is incompatible</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Added --webpack flag to build script in package.json</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12</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prod I-01/I-02
Profile dropdown</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getByText() matched multiple DOM nodes (strict mode)</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Header also renders .username/.userrole always visible</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Scoped selectors to .profilepanel and dialog role</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13</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prod I-03
Last Login date</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Test expected year string; app shows 'Today, HH:MM PM'</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App uses relative 'Today' format for same-day logins</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Accept either 'Today' or current year string</w:t>
            </w:r>
          </w:p>
        </w:tc>
      </w:tr>
      <w:tr>
        <w:tc>
          <w:tcPr>
            <w:tcW w:type="dxa" w:w="600"/>
            <w:shd w:fill="FFFFFF" w:color="auto" w:val="clear"/>
          </w:tcPr>
          <w:p>
            <w:pPr>
              <w:jc w:val="left"/>
            </w:pPr>
            <w:r>
              <w:rPr>
                <w:rFonts w:ascii="Calibri" w:cs="Calibri" w:eastAsia="Calibri" w:hAnsi="Calibri"/>
                <w:b w:val="false"/>
                <w:bCs w:val="false"/>
                <w:color w:val="000000"/>
                <w:sz w:val="18"/>
                <w:szCs w:val="18"/>
              </w:rPr>
              <w:t xml:space="preserve">14</w:t>
            </w:r>
          </w:p>
        </w:tc>
        <w:tc>
          <w:tcPr>
            <w:tcW w:type="dxa" w:w="1100"/>
            <w:shd w:fill="FFFFFF" w:color="auto" w:val="clear"/>
          </w:tcPr>
          <w:p>
            <w:pPr>
              <w:jc w:val="left"/>
            </w:pPr>
            <w:r>
              <w:rPr>
                <w:rFonts w:ascii="Calibri" w:cs="Calibri" w:eastAsia="Calibri" w:hAnsi="Calibri"/>
                <w:b w:val="false"/>
                <w:bCs w:val="false"/>
                <w:color w:val="000000"/>
                <w:sz w:val="18"/>
                <w:szCs w:val="18"/>
              </w:rPr>
              <w:t xml:space="preserve">prod M-10
AUA chart</w:t>
            </w:r>
          </w:p>
        </w:tc>
        <w:tc>
          <w:tcPr>
            <w:tcW w:type="dxa" w:w="1800"/>
            <w:shd w:fill="FFFFFF" w:color="auto" w:val="clear"/>
          </w:tcPr>
          <w:p>
            <w:pPr>
              <w:jc w:val="left"/>
            </w:pPr>
            <w:r>
              <w:rPr>
                <w:rFonts w:ascii="Calibri" w:cs="Calibri" w:eastAsia="Calibri" w:hAnsi="Calibri"/>
                <w:b w:val="false"/>
                <w:bCs w:val="false"/>
                <w:color w:val="000000"/>
                <w:sz w:val="18"/>
                <w:szCs w:val="18"/>
              </w:rPr>
              <w:t xml:space="preserve">Chart not found in default pillar</w:t>
            </w:r>
          </w:p>
        </w:tc>
        <w:tc>
          <w:tcPr>
            <w:tcW w:type="dxa" w:w="2200"/>
            <w:shd w:fill="FFFFFF" w:color="auto" w:val="clear"/>
          </w:tcPr>
          <w:p>
            <w:pPr>
              <w:jc w:val="left"/>
            </w:pPr>
            <w:r>
              <w:rPr>
                <w:rFonts w:ascii="Calibri" w:cs="Calibri" w:eastAsia="Calibri" w:hAnsi="Calibri"/>
                <w:b w:val="false"/>
                <w:bCs w:val="false"/>
                <w:color w:val="000000"/>
                <w:sz w:val="18"/>
                <w:szCs w:val="18"/>
              </w:rPr>
              <w:t xml:space="preserve">AUA is in 'Trust Fund Administration', not default pillar</w:t>
            </w:r>
          </w:p>
        </w:tc>
        <w:tc>
          <w:tcPr>
            <w:tcW w:type="dxa" w:w="2100"/>
            <w:shd w:fill="FFFFFF" w:color="auto" w:val="clear"/>
          </w:tcPr>
          <w:p>
            <w:pPr>
              <w:jc w:val="left"/>
            </w:pPr>
            <w:r>
              <w:rPr>
                <w:rFonts w:ascii="Calibri" w:cs="Calibri" w:eastAsia="Calibri" w:hAnsi="Calibri"/>
                <w:b w:val="false"/>
                <w:bCs w:val="false"/>
                <w:color w:val="000000"/>
                <w:sz w:val="18"/>
                <w:szCs w:val="18"/>
              </w:rPr>
              <w:t xml:space="preserve">Added selectOption('Trust Fund Administration')</w:t>
            </w:r>
          </w:p>
        </w:tc>
      </w:tr>
      <w:tr>
        <w:tc>
          <w:tcPr>
            <w:tcW w:type="dxa" w:w="600"/>
            <w:shd w:fill="F5F9FC" w:color="auto" w:val="clear"/>
          </w:tcPr>
          <w:p>
            <w:pPr>
              <w:jc w:val="left"/>
            </w:pPr>
            <w:r>
              <w:rPr>
                <w:rFonts w:ascii="Calibri" w:cs="Calibri" w:eastAsia="Calibri" w:hAnsi="Calibri"/>
                <w:b w:val="false"/>
                <w:bCs w:val="false"/>
                <w:color w:val="000000"/>
                <w:sz w:val="18"/>
                <w:szCs w:val="18"/>
              </w:rPr>
              <w:t xml:space="preserve">15</w:t>
            </w:r>
          </w:p>
        </w:tc>
        <w:tc>
          <w:tcPr>
            <w:tcW w:type="dxa" w:w="1100"/>
            <w:shd w:fill="F5F9FC" w:color="auto" w:val="clear"/>
          </w:tcPr>
          <w:p>
            <w:pPr>
              <w:jc w:val="left"/>
            </w:pPr>
            <w:r>
              <w:rPr>
                <w:rFonts w:ascii="Calibri" w:cs="Calibri" w:eastAsia="Calibri" w:hAnsi="Calibri"/>
                <w:b w:val="false"/>
                <w:bCs w:val="false"/>
                <w:color w:val="000000"/>
                <w:sz w:val="18"/>
                <w:szCs w:val="18"/>
              </w:rPr>
              <w:t xml:space="preserve">prod M-11
QoQ .chartvalue</w:t>
            </w:r>
          </w:p>
        </w:tc>
        <w:tc>
          <w:tcPr>
            <w:tcW w:type="dxa" w:w="1800"/>
            <w:shd w:fill="F5F9FC" w:color="auto" w:val="clear"/>
          </w:tcPr>
          <w:p>
            <w:pPr>
              <w:jc w:val="left"/>
            </w:pPr>
            <w:r>
              <w:rPr>
                <w:rFonts w:ascii="Calibri" w:cs="Calibri" w:eastAsia="Calibri" w:hAnsi="Calibri"/>
                <w:b w:val="false"/>
                <w:bCs w:val="false"/>
                <w:color w:val="000000"/>
                <w:sz w:val="18"/>
                <w:szCs w:val="18"/>
              </w:rPr>
              <w:t xml:space="preserve">.chartvalue selector not found</w:t>
            </w:r>
          </w:p>
        </w:tc>
        <w:tc>
          <w:tcPr>
            <w:tcW w:type="dxa" w:w="2200"/>
            <w:shd w:fill="F5F9FC" w:color="auto" w:val="clear"/>
          </w:tcPr>
          <w:p>
            <w:pPr>
              <w:jc w:val="left"/>
            </w:pPr>
            <w:r>
              <w:rPr>
                <w:rFonts w:ascii="Calibri" w:cs="Calibri" w:eastAsia="Calibri" w:hAnsi="Calibri"/>
                <w:b w:val="false"/>
                <w:bCs w:val="false"/>
                <w:color w:val="000000"/>
                <w:sz w:val="18"/>
                <w:szCs w:val="18"/>
              </w:rPr>
              <w:t xml:space="preserve">QoQTrendChart has no .chartvalue element</w:t>
            </w:r>
          </w:p>
        </w:tc>
        <w:tc>
          <w:tcPr>
            <w:tcW w:type="dxa" w:w="2100"/>
            <w:shd w:fill="F5F9FC" w:color="auto" w:val="clear"/>
          </w:tcPr>
          <w:p>
            <w:pPr>
              <w:jc w:val="left"/>
            </w:pPr>
            <w:r>
              <w:rPr>
                <w:rFonts w:ascii="Calibri" w:cs="Calibri" w:eastAsia="Calibri" w:hAnsi="Calibri"/>
                <w:b w:val="false"/>
                <w:bCs w:val="false"/>
                <w:color w:val="000000"/>
                <w:sz w:val="18"/>
                <w:szCs w:val="18"/>
              </w:rPr>
              <w:t xml:space="preserve">Assert .qoqhalfcard visibility</w:t>
            </w:r>
          </w:p>
        </w:tc>
      </w:tr>
    </w:tbl>
    <w:p>
      <w:pPr>
        <w:spacing w:after="100" w:before="100"/>
      </w:pPr>
      <w:r>
        <w:t xml:space="preserve"/>
      </w:r>
    </w:p>
    <w:p>
      <w:r>
        <w:br w:type="page"/>
      </w:r>
    </w:p>
    <w:p>
      <w:pPr>
        <w:pStyle w:val="Heading1"/>
        <w:spacing w:after="120" w:before="240"/>
      </w:pPr>
      <w:r>
        <w:rPr>
          <w:rFonts w:ascii="Calibri" w:cs="Calibri" w:eastAsia="Calibri" w:hAnsi="Calibri"/>
          <w:b/>
          <w:bCs/>
          <w:color w:val="005A8E"/>
          <w:sz w:val="28"/>
          <w:szCs w:val="28"/>
        </w:rPr>
        <w:t xml:space="preserve">5. Production Build Fix</w:t>
      </w:r>
    </w:p>
    <w:p>
      <w:pPr>
        <w:spacing w:after="60" w:before="60"/>
        <w:jc w:val="left"/>
      </w:pPr>
      <w:r>
        <w:rPr>
          <w:rFonts w:ascii="Calibri" w:cs="Calibri" w:eastAsia="Calibri" w:hAnsi="Calibri"/>
          <w:b w:val="false"/>
          <w:bCs w:val="false"/>
          <w:i w:val="false"/>
          <w:iCs w:val="false"/>
          <w:color w:val="222222"/>
          <w:sz w:val="20"/>
          <w:szCs w:val="20"/>
        </w:rPr>
        <w:t xml:space="preserve">Before production tests could run, a blocking build error had to be resolved.</w:t>
      </w:r>
    </w:p>
    <w:p>
      <w:pPr>
        <w:spacing w:after="100" w:before="100"/>
      </w:pPr>
      <w:r>
        <w:t xml:space="preserve"/>
      </w:r>
    </w:p>
    <w:p>
      <w:pPr>
        <w:pStyle w:val="Heading2"/>
        <w:spacing w:after="120" w:before="240"/>
      </w:pPr>
      <w:r>
        <w:rPr>
          <w:rFonts w:ascii="Calibri" w:cs="Calibri" w:eastAsia="Calibri" w:hAnsi="Calibri"/>
          <w:b/>
          <w:bCs/>
          <w:color w:val="333333"/>
          <w:sz w:val="24"/>
          <w:szCs w:val="24"/>
        </w:rPr>
        <w:t xml:space="preserve">Issue</w:t>
      </w:r>
    </w:p>
    <w:p>
      <w:pPr>
        <w:spacing w:after="60" w:before="60"/>
        <w:jc w:val="left"/>
      </w:pPr>
      <w:r>
        <w:rPr>
          <w:rFonts w:ascii="Calibri" w:cs="Calibri" w:eastAsia="Calibri" w:hAnsi="Calibri"/>
          <w:b w:val="false"/>
          <w:bCs w:val="false"/>
          <w:i w:val="false"/>
          <w:iCs w:val="false"/>
          <w:color w:val="222222"/>
          <w:sz w:val="20"/>
          <w:szCs w:val="20"/>
        </w:rPr>
        <w:t xml:space="preserve">next build failed under Next.js 16's default Turbopack bundler with:</w:t>
      </w:r>
    </w:p>
    <w:p>
      <w:pPr>
        <w:spacing w:after="80" w:before="80"/>
        <w:ind w:left="720"/>
      </w:pPr>
      <w:r>
        <w:rPr>
          <w:rFonts w:ascii="Courier New" w:cs="Courier New" w:eastAsia="Courier New" w:hAnsi="Courier New"/>
          <w:color w:val="CC0000"/>
          <w:sz w:val="18"/>
          <w:szCs w:val="18"/>
        </w:rPr>
        <w:t xml:space="preserve">Error: next/font/google: weight must contain exactly one entry</w:t>
      </w:r>
    </w:p>
    <w:p>
      <w:pPr>
        <w:spacing w:after="60" w:before="60"/>
        <w:jc w:val="left"/>
      </w:pPr>
      <w:r>
        <w:rPr>
          <w:rFonts w:ascii="Calibri" w:cs="Calibri" w:eastAsia="Calibri" w:hAnsi="Calibri"/>
          <w:b w:val="false"/>
          <w:bCs w:val="false"/>
          <w:i w:val="false"/>
          <w:iCs w:val="false"/>
          <w:color w:val="222222"/>
          <w:sz w:val="20"/>
          <w:szCs w:val="20"/>
        </w:rPr>
        <w:t xml:space="preserve">next/font/google is called with weight: ["600","700"] in layout.tsx. Turbopack 16 does not support weight arrays; the webpack bundler does.</w:t>
      </w:r>
    </w:p>
    <w:p>
      <w:pPr>
        <w:spacing w:after="100" w:before="100"/>
      </w:pPr>
      <w:r>
        <w:t xml:space="preserve"/>
      </w:r>
    </w:p>
    <w:p>
      <w:pPr>
        <w:pStyle w:val="Heading2"/>
        <w:spacing w:after="120" w:before="240"/>
      </w:pPr>
      <w:r>
        <w:rPr>
          <w:rFonts w:ascii="Calibri" w:cs="Calibri" w:eastAsia="Calibri" w:hAnsi="Calibri"/>
          <w:b/>
          <w:bCs/>
          <w:color w:val="333333"/>
          <w:sz w:val="24"/>
          <w:szCs w:val="24"/>
        </w:rPr>
        <w:t xml:space="preserve">Fix</w:t>
      </w:r>
    </w:p>
    <w:p>
      <w:pPr>
        <w:spacing w:after="60" w:before="60"/>
        <w:jc w:val="left"/>
      </w:pPr>
      <w:r>
        <w:rPr>
          <w:rFonts w:ascii="Calibri" w:cs="Calibri" w:eastAsia="Calibri" w:hAnsi="Calibri"/>
          <w:b w:val="false"/>
          <w:bCs w:val="false"/>
          <w:i w:val="false"/>
          <w:iCs w:val="false"/>
          <w:color w:val="222222"/>
          <w:sz w:val="20"/>
          <w:szCs w:val="20"/>
        </w:rPr>
        <w:t xml:space="preserve">Changed the build script in package.json from next build to next build --webpack. This opts out of Turbopack for the production build while leaving the dev server unchanged. The fix was pushed to the main branch and deployed to Vercel before production tests were re-run.</w:t>
      </w:r>
    </w:p>
    <w:p>
      <w:pPr>
        <w:spacing w:after="100" w:before="100"/>
      </w:pPr>
      <w:r>
        <w:t xml:space="preserve"/>
      </w:r>
    </w:p>
    <w:p>
      <w:pPr>
        <w:pStyle w:val="Heading1"/>
        <w:spacing w:after="120" w:before="240"/>
      </w:pPr>
      <w:r>
        <w:rPr>
          <w:rFonts w:ascii="Calibri" w:cs="Calibri" w:eastAsia="Calibri" w:hAnsi="Calibri"/>
          <w:b/>
          <w:bCs/>
          <w:color w:val="005A8E"/>
          <w:sz w:val="28"/>
          <w:szCs w:val="28"/>
        </w:rPr>
        <w:t xml:space="preserve">6. Final Result</w:t>
      </w:r>
    </w:p>
    <w:p>
      <w:pPr>
        <w:spacing w:after="60" w:before="60"/>
        <w:jc w:val="left"/>
      </w:pPr>
      <w:r>
        <w:rPr>
          <w:rFonts w:ascii="Calibri" w:cs="Calibri" w:eastAsia="Calibri" w:hAnsi="Calibri"/>
          <w:b w:val="false"/>
          <w:bCs w:val="false"/>
          <w:i w:val="false"/>
          <w:iCs w:val="false"/>
          <w:color w:val="222222"/>
          <w:sz w:val="20"/>
          <w:szCs w:val="20"/>
        </w:rPr>
        <w:t xml:space="preserve">After all fixes were applied and deployed:</w:t>
      </w:r>
    </w:p>
    <w:p>
      <w:pPr>
        <w:spacing w:after="100" w:before="100"/>
      </w:pPr>
      <w:r>
        <w:t xml:space="preserve"/>
      </w:r>
    </w:p>
    <w:p>
      <w:pPr>
        <w:pStyle w:val="ListParagraph"/>
        <w:numPr>
          <w:ilvl w:val="0"/>
          <w:numId w:val="2"/>
        </w:numPr>
        <w:spacing w:after="40" w:before="40"/>
      </w:pPr>
      <w:r>
        <w:rPr>
          <w:rFonts w:ascii="Calibri" w:cs="Calibri" w:eastAsia="Calibri" w:hAnsi="Calibri"/>
          <w:sz w:val="20"/>
          <w:szCs w:val="20"/>
        </w:rPr>
        <w:t xml:space="preserve">62 / 62  unit tests pass (Vitest, node environment)</w:t>
      </w:r>
    </w:p>
    <w:p>
      <w:pPr>
        <w:pStyle w:val="ListParagraph"/>
        <w:numPr>
          <w:ilvl w:val="0"/>
          <w:numId w:val="2"/>
        </w:numPr>
        <w:spacing w:after="40" w:before="40"/>
      </w:pPr>
      <w:r>
        <w:rPr>
          <w:rFonts w:ascii="Calibri" w:cs="Calibri" w:eastAsia="Calibri" w:hAnsi="Calibri"/>
          <w:sz w:val="20"/>
          <w:szCs w:val="20"/>
        </w:rPr>
        <w:t xml:space="preserve">76 / 76  local E2E tests pass (Playwright against localhost:3000)</w:t>
      </w:r>
    </w:p>
    <w:p>
      <w:pPr>
        <w:pStyle w:val="ListParagraph"/>
        <w:numPr>
          <w:ilvl w:val="0"/>
          <w:numId w:val="2"/>
        </w:numPr>
        <w:spacing w:after="40" w:before="40"/>
      </w:pPr>
      <w:r>
        <w:rPr>
          <w:rFonts w:ascii="Calibri" w:cs="Calibri" w:eastAsia="Calibri" w:hAnsi="Calibri"/>
          <w:sz w:val="20"/>
          <w:szCs w:val="20"/>
        </w:rPr>
        <w:t xml:space="preserve">30 / 30  production E2E tests pass (Playwright against cpf-dashboard-tau.vercel.app)</w:t>
      </w:r>
    </w:p>
    <w:p>
      <w:pPr>
        <w:pStyle w:val="ListParagraph"/>
        <w:numPr>
          <w:ilvl w:val="0"/>
          <w:numId w:val="2"/>
        </w:numPr>
        <w:spacing w:after="40" w:before="40"/>
      </w:pPr>
      <w:r>
        <w:rPr>
          <w:rFonts w:ascii="Calibri" w:cs="Calibri" w:eastAsia="Calibri" w:hAnsi="Calibri"/>
          <w:sz w:val="20"/>
          <w:szCs w:val="20"/>
        </w:rPr>
        <w:t xml:space="preserve">Production build succeeds on Vercel (webpack mode, Next.js 16.3.8)</w:t>
      </w:r>
    </w:p>
    <w:p>
      <w:pPr>
        <w:pStyle w:val="ListParagraph"/>
        <w:numPr>
          <w:ilvl w:val="0"/>
          <w:numId w:val="2"/>
        </w:numPr>
        <w:spacing w:after="40" w:before="40"/>
      </w:pPr>
      <w:r>
        <w:rPr>
          <w:rFonts w:ascii="Calibri" w:cs="Calibri" w:eastAsia="Calibri" w:hAnsi="Calibri"/>
          <w:sz w:val="20"/>
          <w:szCs w:val="20"/>
        </w:rPr>
        <w:t xml:space="preserve">Zero hardcoded KPI values — all assertions use dynamic DB reads or regex patterns</w:t>
      </w:r>
    </w:p>
    <w:p>
      <w:pPr>
        <w:pStyle w:val="ListParagraph"/>
        <w:numPr>
          <w:ilvl w:val="0"/>
          <w:numId w:val="2"/>
        </w:numPr>
        <w:spacing w:after="40" w:before="40"/>
      </w:pPr>
      <w:r>
        <w:rPr>
          <w:rFonts w:ascii="Calibri" w:cs="Calibri" w:eastAsia="Calibri" w:hAnsi="Calibri"/>
          <w:sz w:val="20"/>
          <w:szCs w:val="20"/>
        </w:rPr>
        <w:t xml:space="preserve">Zero skipped tests — all 168 tests execute in every run</w:t>
      </w:r>
    </w:p>
    <w:p>
      <w:pPr>
        <w:spacing w:after="100" w:before="100"/>
      </w:pPr>
      <w:r>
        <w:t xml:space="preserve"/>
      </w:r>
    </w:p>
    <w:p>
      <w:pPr>
        <w:spacing w:after="60" w:before="60"/>
        <w:jc w:val="left"/>
      </w:pPr>
      <w:r>
        <w:rPr>
          <w:rFonts w:ascii="Calibri" w:cs="Calibri" w:eastAsia="Calibri" w:hAnsi="Calibri"/>
          <w:b/>
          <w:bCs/>
          <w:i w:val="false"/>
          <w:iCs w:val="false"/>
          <w:color w:val="222222"/>
          <w:sz w:val="20"/>
          <w:szCs w:val="20"/>
        </w:rPr>
        <w:t xml:space="preserve">The dashboard is professionally tested in both local development and live production environments. Every route, every KPI tile, every interactive UI feature, and every core calculation has verified, automated coverage.</w:t>
      </w:r>
    </w:p>
    <w:p>
      <w:pPr>
        <w:spacing w:after="100" w:before="100"/>
      </w:pPr>
      <w:r>
        <w:t xml:space="preserve"/>
      </w:r>
    </w:p>
    <w:p>
      <w:pPr>
        <w:pBdr>
          <w:bottom w:val="single" w:color="005A8E" w:sz="6"/>
        </w:pBdr>
        <w:spacing w:after="120" w:before="120"/>
      </w:pPr>
      <w:r>
        <w:t xml:space="preserve"/>
      </w:r>
    </w:p>
    <w:p>
      <w:pPr>
        <w:spacing w:after="0" w:before="120"/>
        <w:jc w:val="center"/>
      </w:pPr>
      <w:r>
        <w:rPr>
          <w:rFonts w:ascii="Calibri" w:cs="Calibri" w:eastAsia="Calibri" w:hAnsi="Calibri"/>
          <w:i/>
          <w:iCs/>
          <w:color w:val="AAAAAA"/>
          <w:sz w:val="18"/>
          <w:szCs w:val="18"/>
        </w:rPr>
        <w:t xml:space="preserve">CPF Group  ·  Confidential  ·  Internal Use Only</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2026-10-09T18:41:14.497Z</dcterms:created>
  <dcterms:modified xsi:type="dcterms:W3CDTF">2026-10-09T18:41:14.499Z</dcterms:modified>
</cp:coreProperties>
</file>

<file path=docProps/custom.xml><?xml version="1.0" encoding="utf-8"?>
<Properties xmlns="http://schemas.openxmlformats.org/officeDocument/2006/custom-properties" xmlns:vt="http://schemas.openxmlformats.org/officeDocument/2006/docPropsVTypes"/>
</file>