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13F82" w14:textId="77777777" w:rsidR="004546B9" w:rsidRPr="00A958B2" w:rsidRDefault="00000000">
      <w:pPr>
        <w:spacing w:before="80" w:after="60"/>
        <w:jc w:val="center"/>
      </w:pPr>
      <w:r w:rsidRPr="00A958B2">
        <w:rPr>
          <w:b/>
          <w:bCs/>
          <w:sz w:val="40"/>
          <w:szCs w:val="40"/>
        </w:rPr>
        <w:t>Phase 5 — Development</w:t>
      </w:r>
    </w:p>
    <w:p w14:paraId="378E0856" w14:textId="77777777" w:rsidR="004546B9" w:rsidRPr="00A958B2" w:rsidRDefault="00000000">
      <w:pPr>
        <w:spacing w:after="40"/>
        <w:jc w:val="center"/>
      </w:pPr>
      <w:r w:rsidRPr="00A958B2">
        <w:rPr>
          <w:sz w:val="26"/>
          <w:szCs w:val="26"/>
        </w:rPr>
        <w:t>Development Record</w:t>
      </w:r>
    </w:p>
    <w:p w14:paraId="5EE2A83A" w14:textId="77777777" w:rsidR="004546B9" w:rsidRPr="00A958B2" w:rsidRDefault="00000000">
      <w:pPr>
        <w:spacing w:after="220"/>
        <w:jc w:val="center"/>
      </w:pPr>
      <w:r w:rsidRPr="00A958B2">
        <w:rPr>
          <w:i/>
          <w:iCs/>
          <w:sz w:val="18"/>
          <w:szCs w:val="18"/>
        </w:rPr>
        <w:t>CPF Group Multi-Subsidiary Analytics Dashboard | Prepared by Vincent Onchieku Collins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866"/>
      </w:tblGrid>
      <w:tr w:rsidR="004546B9" w:rsidRPr="00A958B2" w14:paraId="58670586" w14:textId="77777777" w:rsidTr="00A958B2">
        <w:tblPrEx>
          <w:tblCellMar>
            <w:top w:w="0" w:type="dxa"/>
            <w:bottom w:w="0" w:type="dxa"/>
          </w:tblCellMar>
        </w:tblPrEx>
        <w:tc>
          <w:tcPr>
            <w:tcW w:w="2600" w:type="dxa"/>
            <w:shd w:val="clear" w:color="auto" w:fill="FFFFFF" w:themeFill="background1"/>
            <w:tcMar>
              <w:top w:w="80" w:type="dxa"/>
              <w:left w:w="100" w:type="dxa"/>
              <w:bottom w:w="80" w:type="dxa"/>
              <w:right w:w="100" w:type="dxa"/>
            </w:tcMar>
          </w:tcPr>
          <w:p w14:paraId="385CA2DF" w14:textId="77777777" w:rsidR="004546B9" w:rsidRPr="00A958B2" w:rsidRDefault="00000000">
            <w:r w:rsidRPr="00A958B2">
              <w:rPr>
                <w:b/>
                <w:bCs/>
                <w:sz w:val="18"/>
                <w:szCs w:val="18"/>
              </w:rPr>
              <w:t>Field</w:t>
            </w:r>
          </w:p>
        </w:tc>
        <w:tc>
          <w:tcPr>
            <w:tcW w:w="7866" w:type="dxa"/>
            <w:shd w:val="clear" w:color="auto" w:fill="FFFFFF" w:themeFill="background1"/>
            <w:tcMar>
              <w:top w:w="80" w:type="dxa"/>
              <w:left w:w="100" w:type="dxa"/>
              <w:bottom w:w="80" w:type="dxa"/>
              <w:right w:w="100" w:type="dxa"/>
            </w:tcMar>
          </w:tcPr>
          <w:p w14:paraId="54E10AC5" w14:textId="77777777" w:rsidR="004546B9" w:rsidRPr="00A958B2" w:rsidRDefault="00000000">
            <w:r w:rsidRPr="00A958B2">
              <w:rPr>
                <w:b/>
                <w:bCs/>
                <w:sz w:val="18"/>
                <w:szCs w:val="18"/>
              </w:rPr>
              <w:t>Detail</w:t>
            </w:r>
          </w:p>
        </w:tc>
      </w:tr>
      <w:tr w:rsidR="004546B9" w:rsidRPr="00A958B2" w14:paraId="4766BDC9" w14:textId="77777777">
        <w:tblPrEx>
          <w:tblCellMar>
            <w:top w:w="0" w:type="dxa"/>
            <w:bottom w:w="0" w:type="dxa"/>
          </w:tblCellMar>
        </w:tblPrEx>
        <w:tc>
          <w:tcPr>
            <w:tcW w:w="2600" w:type="dxa"/>
            <w:tcMar>
              <w:top w:w="80" w:type="dxa"/>
              <w:left w:w="100" w:type="dxa"/>
              <w:bottom w:w="80" w:type="dxa"/>
              <w:right w:w="100" w:type="dxa"/>
            </w:tcMar>
          </w:tcPr>
          <w:p w14:paraId="034BDD58" w14:textId="77777777" w:rsidR="004546B9" w:rsidRPr="00A958B2" w:rsidRDefault="00000000">
            <w:r w:rsidRPr="00A958B2">
              <w:rPr>
                <w:sz w:val="18"/>
                <w:szCs w:val="18"/>
              </w:rPr>
              <w:t>Prepared by</w:t>
            </w:r>
          </w:p>
        </w:tc>
        <w:tc>
          <w:tcPr>
            <w:tcW w:w="7866" w:type="dxa"/>
            <w:tcMar>
              <w:top w:w="80" w:type="dxa"/>
              <w:left w:w="100" w:type="dxa"/>
              <w:bottom w:w="80" w:type="dxa"/>
              <w:right w:w="100" w:type="dxa"/>
            </w:tcMar>
          </w:tcPr>
          <w:p w14:paraId="10772F85" w14:textId="77777777" w:rsidR="004546B9" w:rsidRPr="00A958B2" w:rsidRDefault="00000000">
            <w:r w:rsidRPr="00A958B2">
              <w:rPr>
                <w:sz w:val="18"/>
                <w:szCs w:val="18"/>
              </w:rPr>
              <w:t>Vincent Onchieku Collins</w:t>
            </w:r>
          </w:p>
        </w:tc>
      </w:tr>
      <w:tr w:rsidR="004546B9" w:rsidRPr="00A958B2" w14:paraId="49F4F055" w14:textId="77777777">
        <w:tblPrEx>
          <w:tblCellMar>
            <w:top w:w="0" w:type="dxa"/>
            <w:bottom w:w="0" w:type="dxa"/>
          </w:tblCellMar>
        </w:tblPrEx>
        <w:tc>
          <w:tcPr>
            <w:tcW w:w="2600" w:type="dxa"/>
            <w:tcMar>
              <w:top w:w="80" w:type="dxa"/>
              <w:left w:w="100" w:type="dxa"/>
              <w:bottom w:w="80" w:type="dxa"/>
              <w:right w:w="100" w:type="dxa"/>
            </w:tcMar>
          </w:tcPr>
          <w:p w14:paraId="4B8BA8E7" w14:textId="77777777" w:rsidR="004546B9" w:rsidRPr="00A958B2" w:rsidRDefault="00000000">
            <w:r w:rsidRPr="00A958B2">
              <w:rPr>
                <w:sz w:val="18"/>
                <w:szCs w:val="18"/>
              </w:rPr>
              <w:t>Document Version</w:t>
            </w:r>
          </w:p>
        </w:tc>
        <w:tc>
          <w:tcPr>
            <w:tcW w:w="7866" w:type="dxa"/>
            <w:tcMar>
              <w:top w:w="80" w:type="dxa"/>
              <w:left w:w="100" w:type="dxa"/>
              <w:bottom w:w="80" w:type="dxa"/>
              <w:right w:w="100" w:type="dxa"/>
            </w:tcMar>
          </w:tcPr>
          <w:p>
            <w:r>
              <w:t>2.0</w:t>
            </w:r>
          </w:p>
        </w:tc>
      </w:tr>
      <w:tr w:rsidR="004546B9" w:rsidRPr="00A958B2" w14:paraId="4D92EEE2" w14:textId="77777777">
        <w:tblPrEx>
          <w:tblCellMar>
            <w:top w:w="0" w:type="dxa"/>
            <w:bottom w:w="0" w:type="dxa"/>
          </w:tblCellMar>
        </w:tblPrEx>
        <w:tc>
          <w:tcPr>
            <w:tcW w:w="2600" w:type="dxa"/>
            <w:tcMar>
              <w:top w:w="80" w:type="dxa"/>
              <w:left w:w="100" w:type="dxa"/>
              <w:bottom w:w="80" w:type="dxa"/>
              <w:right w:w="100" w:type="dxa"/>
            </w:tcMar>
          </w:tcPr>
          <w:p w14:paraId="54B4B7F5" w14:textId="77777777" w:rsidR="004546B9" w:rsidRPr="00A958B2" w:rsidRDefault="00000000">
            <w:r w:rsidRPr="00A958B2">
              <w:rPr>
                <w:sz w:val="18"/>
                <w:szCs w:val="18"/>
              </w:rPr>
              <w:t>Status</w:t>
            </w:r>
          </w:p>
        </w:tc>
        <w:tc>
          <w:tcPr>
            <w:tcW w:w="7866" w:type="dxa"/>
            <w:tcMar>
              <w:top w:w="80" w:type="dxa"/>
              <w:left w:w="100" w:type="dxa"/>
              <w:bottom w:w="80" w:type="dxa"/>
              <w:right w:w="100" w:type="dxa"/>
            </w:tcMar>
          </w:tcPr>
          <w:p>
            <w:r>
              <w:t>Original Phase 5 scope (Data generation, Infrastructure/Data, Core Logic, Orchestration, Entry/Interface layers) COMPLETE and verified on main. Post-Phase-5 Development Updates / Extended UI Enhancements defined in §9, to be implemented before Phase 6 Testing begins (see §9.0).</w:t>
            </w:r>
          </w:p>
        </w:tc>
      </w:tr>
      <w:tr w:rsidR="004546B9" w:rsidRPr="00A958B2" w14:paraId="1D0590C8" w14:textId="77777777">
        <w:tblPrEx>
          <w:tblCellMar>
            <w:top w:w="0" w:type="dxa"/>
            <w:bottom w:w="0" w:type="dxa"/>
          </w:tblCellMar>
        </w:tblPrEx>
        <w:tc>
          <w:tcPr>
            <w:tcW w:w="2600" w:type="dxa"/>
            <w:tcMar>
              <w:top w:w="80" w:type="dxa"/>
              <w:left w:w="100" w:type="dxa"/>
              <w:bottom w:w="80" w:type="dxa"/>
              <w:right w:w="100" w:type="dxa"/>
            </w:tcMar>
          </w:tcPr>
          <w:p w14:paraId="18E32540" w14:textId="77777777" w:rsidR="004546B9" w:rsidRPr="00A958B2" w:rsidRDefault="00000000">
            <w:r w:rsidRPr="00A958B2">
              <w:rPr>
                <w:sz w:val="18"/>
                <w:szCs w:val="18"/>
              </w:rPr>
              <w:t>Governing references</w:t>
            </w:r>
          </w:p>
        </w:tc>
        <w:tc>
          <w:tcPr>
            <w:tcW w:w="7866" w:type="dxa"/>
            <w:tcMar>
              <w:top w:w="80" w:type="dxa"/>
              <w:left w:w="100" w:type="dxa"/>
              <w:bottom w:w="80" w:type="dxa"/>
              <w:right w:w="100" w:type="dxa"/>
            </w:tcMar>
          </w:tcPr>
          <w:p w14:paraId="5D18D739" w14:textId="77777777" w:rsidR="004546B9" w:rsidRPr="00A958B2" w:rsidRDefault="00000000">
            <w:r w:rsidRPr="00A958B2">
              <w:rPr>
                <w:sz w:val="18"/>
                <w:szCs w:val="18"/>
              </w:rPr>
              <w:t>Week 7 &amp; 8 Execution Plan; Phase 2 — Analysis; Phase 3 — Design (Software Design Document); Phase 4 — Environment and CI/CD</w:t>
            </w:r>
          </w:p>
        </w:tc>
      </w:tr>
    </w:tbl>
    <w:p w14:paraId="799011C8" w14:textId="77777777" w:rsidR="004546B9" w:rsidRPr="00A958B2" w:rsidRDefault="00000000" w:rsidP="00A958B2">
      <w:pPr>
        <w:pBdr>
          <w:top w:val="single" w:sz="4" w:space="8" w:color="8EA9C1"/>
          <w:left w:val="single" w:sz="4" w:space="8" w:color="8EA9C1"/>
          <w:bottom w:val="single" w:sz="4" w:space="8" w:color="8EA9C1"/>
          <w:right w:val="single" w:sz="4" w:space="8" w:color="8EA9C1"/>
        </w:pBdr>
        <w:shd w:val="clear" w:color="auto" w:fill="FFFFFF" w:themeFill="background1"/>
        <w:spacing w:after="160"/>
      </w:pPr>
      <w:r w:rsidRPr="00A958B2">
        <w:rPr>
          <w:i/>
          <w:iCs/>
        </w:rPr>
        <w:t>SDLC alignment: Phase 4, Development/Coding (SDLC Document) — writing code against the approved Phase 3 SDD. This record is built bottom-up through the four-layer architecture, exactly as the Execution Plan's Phase 5 task list sequences it, and states plainly which layers are complete and which are not — it is a record of what exists, not a claim that Phase 5 is finished.</w:t>
      </w:r>
    </w:p>
    <w:p w14:paraId="270730A6" w14:textId="77777777" w:rsidR="004546B9" w:rsidRPr="00A958B2" w:rsidRDefault="00000000">
      <w:pPr>
        <w:pStyle w:val="Heading1"/>
        <w:pBdr>
          <w:bottom w:val="single" w:sz="6" w:space="4" w:color="8EA9C1"/>
        </w:pBdr>
        <w:spacing w:before="300" w:after="140"/>
        <w:rPr>
          <w:color w:val="auto"/>
        </w:rPr>
      </w:pPr>
      <w:r w:rsidRPr="00A958B2">
        <w:rPr>
          <w:color w:val="auto"/>
        </w:rPr>
        <w:t>1. Layered Build Order</w:t>
      </w:r>
    </w:p>
    <w:p w14:paraId="59E2280B" w14:textId="77777777" w:rsidR="004546B9" w:rsidRPr="00A958B2" w:rsidRDefault="00000000">
      <w:pPr>
        <w:spacing w:after="110"/>
      </w:pPr>
      <w:r w:rsidRPr="00A958B2">
        <w:t>Following the Execution Plan's Phase 5 task list, the layers are built bottom-up — each one depends only on the layer below it, so each is usable and verifiable on its own before the next is added:</w:t>
      </w:r>
    </w:p>
    <w:p w14:paraId="542722BC" w14:textId="77777777" w:rsidR="004546B9" w:rsidRPr="00A958B2" w:rsidRDefault="00000000">
      <w:pPr>
        <w:pStyle w:val="ListParagraph"/>
        <w:numPr>
          <w:ilvl w:val="0"/>
          <w:numId w:val="2"/>
        </w:numPr>
        <w:spacing w:after="80"/>
      </w:pPr>
      <w:r w:rsidRPr="00A958B2">
        <w:rPr>
          <w:b/>
          <w:bCs/>
        </w:rPr>
        <w:t xml:space="preserve">1. Data generation </w:t>
      </w:r>
      <w:r w:rsidRPr="00A958B2">
        <w:t>— the Python dummy dataset, consistent with Phase 1/2's reference figures.</w:t>
      </w:r>
    </w:p>
    <w:p w14:paraId="7C6C5FFC" w14:textId="77777777" w:rsidR="004546B9" w:rsidRPr="00A958B2" w:rsidRDefault="00000000">
      <w:pPr>
        <w:pStyle w:val="ListParagraph"/>
        <w:numPr>
          <w:ilvl w:val="0"/>
          <w:numId w:val="2"/>
        </w:numPr>
        <w:spacing w:after="80"/>
      </w:pPr>
      <w:r w:rsidRPr="00A958B2">
        <w:rPr>
          <w:b/>
          <w:bCs/>
        </w:rPr>
        <w:t xml:space="preserve">2. Infrastructure/Data Layer </w:t>
      </w:r>
      <w:r w:rsidRPr="00A958B2">
        <w:t xml:space="preserve">— the </w:t>
      </w:r>
      <w:proofErr w:type="spellStart"/>
      <w:r w:rsidRPr="00A958B2">
        <w:t>Supabase</w:t>
      </w:r>
      <w:proofErr w:type="spellEnd"/>
      <w:r w:rsidRPr="00A958B2">
        <w:t xml:space="preserve"> client wrapper and typed queries.</w:t>
      </w:r>
    </w:p>
    <w:p w14:paraId="64AB30A5" w14:textId="77777777" w:rsidR="004546B9" w:rsidRPr="00A958B2" w:rsidRDefault="00000000">
      <w:pPr>
        <w:pStyle w:val="ListParagraph"/>
        <w:numPr>
          <w:ilvl w:val="0"/>
          <w:numId w:val="2"/>
        </w:numPr>
        <w:spacing w:after="80"/>
      </w:pPr>
      <w:r w:rsidRPr="00A958B2">
        <w:rPr>
          <w:b/>
          <w:bCs/>
        </w:rPr>
        <w:t xml:space="preserve">3. Core Logic Layer </w:t>
      </w:r>
      <w:r w:rsidRPr="00A958B2">
        <w:t>— the pure calculation functions.</w:t>
      </w:r>
    </w:p>
    <w:p w14:paraId="16760B93" w14:textId="77777777" w:rsidR="004546B9" w:rsidRPr="00A958B2" w:rsidRDefault="00000000">
      <w:pPr>
        <w:pStyle w:val="ListParagraph"/>
        <w:numPr>
          <w:ilvl w:val="0"/>
          <w:numId w:val="2"/>
        </w:numPr>
        <w:spacing w:after="80"/>
      </w:pPr>
      <w:r w:rsidRPr="00A958B2">
        <w:rPr>
          <w:b/>
          <w:bCs/>
        </w:rPr>
        <w:t xml:space="preserve">4. Orchestration Layer </w:t>
      </w:r>
      <w:r w:rsidRPr="00A958B2">
        <w:t>— not started yet.</w:t>
      </w:r>
    </w:p>
    <w:p w14:paraId="49A6D3E1" w14:textId="77777777" w:rsidR="004546B9" w:rsidRPr="00A958B2" w:rsidRDefault="00000000">
      <w:pPr>
        <w:pStyle w:val="ListParagraph"/>
        <w:numPr>
          <w:ilvl w:val="0"/>
          <w:numId w:val="2"/>
        </w:numPr>
        <w:spacing w:after="80"/>
      </w:pPr>
      <w:r w:rsidRPr="00A958B2">
        <w:rPr>
          <w:b/>
          <w:bCs/>
        </w:rPr>
        <w:t xml:space="preserve">5. Entry/Interface (UI) Layer </w:t>
      </w:r>
      <w:r w:rsidRPr="00A958B2">
        <w:t>— not started yet.</w:t>
      </w:r>
    </w:p>
    <w:p w14:paraId="201B3189" w14:textId="77777777" w:rsidR="004546B9" w:rsidRPr="00A958B2" w:rsidRDefault="00000000">
      <w:pPr>
        <w:pStyle w:val="Heading1"/>
        <w:pBdr>
          <w:bottom w:val="single" w:sz="6" w:space="4" w:color="8EA9C1"/>
        </w:pBdr>
        <w:spacing w:before="300" w:after="140"/>
        <w:rPr>
          <w:color w:val="auto"/>
        </w:rPr>
      </w:pPr>
      <w:r w:rsidRPr="00A958B2">
        <w:rPr>
          <w:color w:val="auto"/>
        </w:rPr>
        <w:t>2. Domain Types</w:t>
      </w:r>
    </w:p>
    <w:p w14:paraId="4E482398" w14:textId="77777777" w:rsidR="004546B9" w:rsidRPr="00A958B2" w:rsidRDefault="00000000">
      <w:pPr>
        <w:spacing w:after="110"/>
      </w:pPr>
      <w:proofErr w:type="spellStart"/>
      <w:r w:rsidRPr="00A958B2">
        <w:t>src</w:t>
      </w:r>
      <w:proofErr w:type="spellEnd"/>
      <w:r w:rsidRPr="00A958B2">
        <w:t>/types/</w:t>
      </w:r>
      <w:proofErr w:type="spellStart"/>
      <w:r w:rsidRPr="00A958B2">
        <w:t>database.ts</w:t>
      </w:r>
      <w:proofErr w:type="spellEnd"/>
      <w:r w:rsidRPr="00A958B2">
        <w:t xml:space="preserve"> defines a plain TypeScript interface for every table in the Phase 3 SDD's Database Design — Subsidiary, Period, and one row type per entity across all three subsidiaries plus the Group's </w:t>
      </w:r>
      <w:proofErr w:type="spellStart"/>
      <w:r w:rsidRPr="00A958B2">
        <w:t>pension_link_summary</w:t>
      </w:r>
      <w:proofErr w:type="spellEnd"/>
      <w:r w:rsidRPr="00A958B2">
        <w:t xml:space="preserve">. These types depend on nothing from </w:t>
      </w:r>
      <w:proofErr w:type="spellStart"/>
      <w:r w:rsidRPr="00A958B2">
        <w:t>Supabase</w:t>
      </w:r>
      <w:proofErr w:type="spellEnd"/>
      <w:r w:rsidRPr="00A958B2">
        <w:t>, so the Core Logic layer can depend on them without depending on the database client (Core Design Principles §7 — mind the direction of dependencies).</w:t>
      </w:r>
    </w:p>
    <w:p w14:paraId="408A5B5B" w14:textId="77777777" w:rsidR="004546B9" w:rsidRPr="00A958B2" w:rsidRDefault="00000000">
      <w:pPr>
        <w:pStyle w:val="Heading1"/>
        <w:pBdr>
          <w:bottom w:val="single" w:sz="6" w:space="4" w:color="8EA9C1"/>
        </w:pBdr>
        <w:spacing w:before="300" w:after="140"/>
        <w:rPr>
          <w:color w:val="auto"/>
        </w:rPr>
      </w:pPr>
      <w:r w:rsidRPr="00A958B2">
        <w:rPr>
          <w:color w:val="auto"/>
        </w:rPr>
        <w:t>3. Core Logic Layer</w:t>
      </w:r>
    </w:p>
    <w:p w14:paraId="16DF836F" w14:textId="77777777" w:rsidR="004546B9" w:rsidRPr="00A958B2" w:rsidRDefault="00000000">
      <w:pPr>
        <w:spacing w:after="110"/>
      </w:pPr>
      <w:proofErr w:type="spellStart"/>
      <w:r w:rsidRPr="00A958B2">
        <w:t>src</w:t>
      </w:r>
      <w:proofErr w:type="spellEnd"/>
      <w:r w:rsidRPr="00A958B2">
        <w:t xml:space="preserve">/lib/calculations/ </w:t>
      </w:r>
      <w:proofErr w:type="gramStart"/>
      <w:r w:rsidRPr="00A958B2">
        <w:t>holds</w:t>
      </w:r>
      <w:proofErr w:type="gramEnd"/>
      <w:r w:rsidRPr="00A958B2">
        <w:t xml:space="preserve"> one pure function per KPI — all 36 defined in Phase 2 Analysis §1, across four files (</w:t>
      </w:r>
      <w:proofErr w:type="spellStart"/>
      <w:r w:rsidRPr="00A958B2">
        <w:t>rukisha.ts</w:t>
      </w:r>
      <w:proofErr w:type="spellEnd"/>
      <w:r w:rsidRPr="00A958B2">
        <w:t xml:space="preserve">, </w:t>
      </w:r>
      <w:proofErr w:type="spellStart"/>
      <w:r w:rsidRPr="00A958B2">
        <w:t>cpf</w:t>
      </w:r>
      <w:proofErr w:type="spellEnd"/>
      <w:r w:rsidRPr="00A958B2">
        <w:t>-financial-</w:t>
      </w:r>
      <w:proofErr w:type="spellStart"/>
      <w:r w:rsidRPr="00A958B2">
        <w:t>services.ts</w:t>
      </w:r>
      <w:proofErr w:type="spellEnd"/>
      <w:r w:rsidRPr="00A958B2">
        <w:t xml:space="preserve">, </w:t>
      </w:r>
      <w:proofErr w:type="spellStart"/>
      <w:r w:rsidRPr="00A958B2">
        <w:t>cpf</w:t>
      </w:r>
      <w:proofErr w:type="spellEnd"/>
      <w:r w:rsidRPr="00A958B2">
        <w:t>-capital-</w:t>
      </w:r>
      <w:proofErr w:type="spellStart"/>
      <w:r w:rsidRPr="00A958B2">
        <w:t>advisory.ts</w:t>
      </w:r>
      <w:proofErr w:type="spellEnd"/>
      <w:r w:rsidRPr="00A958B2">
        <w:t xml:space="preserve">, </w:t>
      </w:r>
      <w:proofErr w:type="spellStart"/>
      <w:r w:rsidRPr="00A958B2">
        <w:t>group.ts</w:t>
      </w:r>
      <w:proofErr w:type="spellEnd"/>
      <w:r w:rsidRPr="00A958B2">
        <w:t xml:space="preserve">), plus </w:t>
      </w:r>
      <w:proofErr w:type="spellStart"/>
      <w:r w:rsidRPr="00A958B2">
        <w:t>constants.ts</w:t>
      </w:r>
      <w:proofErr w:type="spellEnd"/>
      <w:r w:rsidRPr="00A958B2">
        <w:t xml:space="preserve"> for named thresholds (e.g. DEFAULT_OVERDUE_DAYS = 90, never a magic number inline).</w:t>
      </w:r>
    </w:p>
    <w:p w14:paraId="17C1F6D8" w14:textId="77777777" w:rsidR="004546B9" w:rsidRPr="00A958B2" w:rsidRDefault="00000000">
      <w:pPr>
        <w:spacing w:before="180" w:after="80"/>
      </w:pPr>
      <w:r w:rsidRPr="00A958B2">
        <w:rPr>
          <w:b/>
          <w:bCs/>
          <w:sz w:val="23"/>
          <w:szCs w:val="23"/>
        </w:rPr>
        <w:t>Edge cases, implemented exactly as specified</w:t>
      </w:r>
    </w:p>
    <w:p w14:paraId="072774D2" w14:textId="77777777" w:rsidR="004546B9" w:rsidRPr="00A958B2" w:rsidRDefault="00000000">
      <w:pPr>
        <w:pStyle w:val="ListParagraph"/>
        <w:numPr>
          <w:ilvl w:val="0"/>
          <w:numId w:val="2"/>
        </w:numPr>
        <w:spacing w:after="80"/>
      </w:pPr>
      <w:proofErr w:type="spellStart"/>
      <w:r w:rsidRPr="00A958B2">
        <w:t>calculateDefaultRate</w:t>
      </w:r>
      <w:proofErr w:type="spellEnd"/>
      <w:r w:rsidRPr="00A958B2">
        <w:t xml:space="preserve"> / </w:t>
      </w:r>
      <w:proofErr w:type="spellStart"/>
      <w:r w:rsidRPr="00A958B2">
        <w:t>calculateRepaymentRate</w:t>
      </w:r>
      <w:proofErr w:type="spellEnd"/>
      <w:r w:rsidRPr="00A958B2">
        <w:t xml:space="preserve"> / </w:t>
      </w:r>
      <w:proofErr w:type="spellStart"/>
      <w:r w:rsidRPr="00A958B2">
        <w:t>calculateSavingsToLoanRatio</w:t>
      </w:r>
      <w:proofErr w:type="spellEnd"/>
      <w:r w:rsidRPr="00A958B2">
        <w:t xml:space="preserve"> / </w:t>
      </w:r>
      <w:proofErr w:type="spellStart"/>
      <w:r w:rsidRPr="00A958B2">
        <w:t>calculateTrustFundGrowth</w:t>
      </w:r>
      <w:proofErr w:type="spellEnd"/>
      <w:r w:rsidRPr="00A958B2">
        <w:t xml:space="preserve"> / </w:t>
      </w:r>
      <w:proofErr w:type="spellStart"/>
      <w:r w:rsidRPr="00A958B2">
        <w:t>calculateAverageDealSize</w:t>
      </w:r>
      <w:proofErr w:type="spellEnd"/>
      <w:r w:rsidRPr="00A958B2">
        <w:t xml:space="preserve"> / </w:t>
      </w:r>
      <w:proofErr w:type="spellStart"/>
      <w:r w:rsidRPr="00A958B2">
        <w:t>calculateWeightedAvgProfitRate</w:t>
      </w:r>
      <w:proofErr w:type="spellEnd"/>
      <w:r w:rsidRPr="00A958B2">
        <w:t xml:space="preserve"> / </w:t>
      </w:r>
      <w:proofErr w:type="spellStart"/>
      <w:r w:rsidRPr="00A958B2">
        <w:t>calculateSubscriptionRate</w:t>
      </w:r>
      <w:proofErr w:type="spellEnd"/>
      <w:r w:rsidRPr="00A958B2">
        <w:t xml:space="preserve"> / </w:t>
      </w:r>
      <w:proofErr w:type="spellStart"/>
      <w:r w:rsidRPr="00A958B2">
        <w:t>calculateDistributionYield</w:t>
      </w:r>
      <w:proofErr w:type="spellEnd"/>
      <w:r w:rsidRPr="00A958B2">
        <w:t xml:space="preserve"> / </w:t>
      </w:r>
      <w:proofErr w:type="spellStart"/>
      <w:r w:rsidRPr="00A958B2">
        <w:t>getLatestUnitNav</w:t>
      </w:r>
      <w:proofErr w:type="spellEnd"/>
      <w:r w:rsidRPr="00A958B2">
        <w:t>: each returns null (not a thrown error) on its documented zero-denominator or no-data case — the “degrade gently” principle, pushed down to the function signature itself.</w:t>
      </w:r>
    </w:p>
    <w:p w14:paraId="0FB9402F" w14:textId="77777777" w:rsidR="004546B9" w:rsidRPr="00A958B2" w:rsidRDefault="00000000">
      <w:pPr>
        <w:pStyle w:val="ListParagraph"/>
        <w:numPr>
          <w:ilvl w:val="0"/>
          <w:numId w:val="2"/>
        </w:numPr>
        <w:spacing w:after="80"/>
      </w:pPr>
      <w:proofErr w:type="spellStart"/>
      <w:r w:rsidRPr="00A958B2">
        <w:t>calculateTrustFundGrowth</w:t>
      </w:r>
      <w:proofErr w:type="spellEnd"/>
      <w:r w:rsidRPr="00A958B2">
        <w:t xml:space="preserve"> treats a trust with zero activity as a valid 0% input, not an excluded trust — matching the Phase 2 edge-case note precisely.</w:t>
      </w:r>
    </w:p>
    <w:p w14:paraId="50DFFEC6" w14:textId="77777777" w:rsidR="004546B9" w:rsidRPr="00A958B2" w:rsidRDefault="00000000">
      <w:pPr>
        <w:pStyle w:val="ListParagraph"/>
        <w:numPr>
          <w:ilvl w:val="0"/>
          <w:numId w:val="2"/>
        </w:numPr>
        <w:spacing w:after="80"/>
      </w:pPr>
      <w:proofErr w:type="spellStart"/>
      <w:r w:rsidRPr="00A958B2">
        <w:t>calculateSubscriptionRate</w:t>
      </w:r>
      <w:proofErr w:type="spellEnd"/>
      <w:r w:rsidRPr="00A958B2">
        <w:t xml:space="preserve"> operates on a single issuance, leaving the “in progress” label for an open issuance to the caller — the function does not silently exclude it.</w:t>
      </w:r>
    </w:p>
    <w:p w14:paraId="3C3DD882" w14:textId="77777777" w:rsidR="004546B9" w:rsidRPr="00A958B2" w:rsidRDefault="00000000">
      <w:pPr>
        <w:spacing w:before="180" w:after="80"/>
      </w:pPr>
      <w:r w:rsidRPr="00A958B2">
        <w:rPr>
          <w:b/>
          <w:bCs/>
          <w:sz w:val="23"/>
          <w:szCs w:val="23"/>
        </w:rPr>
        <w:t>Design principles applied</w:t>
      </w:r>
    </w:p>
    <w:p w14:paraId="2BA7C041" w14:textId="77777777" w:rsidR="004546B9" w:rsidRPr="00A958B2" w:rsidRDefault="00000000">
      <w:pPr>
        <w:pStyle w:val="ListParagraph"/>
        <w:numPr>
          <w:ilvl w:val="0"/>
          <w:numId w:val="2"/>
        </w:numPr>
        <w:spacing w:after="80"/>
      </w:pPr>
      <w:r w:rsidRPr="00A958B2">
        <w:t>Single Responsibility / DRY: one function per KPI, calculated once, meant to be reused by every chart/tile that needs it.</w:t>
      </w:r>
    </w:p>
    <w:p w14:paraId="5D874CF6" w14:textId="77777777" w:rsidR="004546B9" w:rsidRPr="00A958B2" w:rsidRDefault="00000000">
      <w:pPr>
        <w:pStyle w:val="ListParagraph"/>
        <w:numPr>
          <w:ilvl w:val="0"/>
          <w:numId w:val="2"/>
        </w:numPr>
        <w:spacing w:after="80"/>
      </w:pPr>
      <w:r w:rsidRPr="00A958B2">
        <w:t>Pure functions: every calculation takes plain data in and returns a plain value out — no I/O, no side effects — so each is unit-testable with a plain input/expected-output pair and no database (Core Design Principles §4).</w:t>
      </w:r>
    </w:p>
    <w:p w14:paraId="2AA060EB" w14:textId="77777777" w:rsidR="004546B9" w:rsidRPr="00A958B2" w:rsidRDefault="00000000">
      <w:pPr>
        <w:pStyle w:val="ListParagraph"/>
        <w:numPr>
          <w:ilvl w:val="0"/>
          <w:numId w:val="2"/>
        </w:numPr>
        <w:spacing w:after="80"/>
      </w:pPr>
      <w:r w:rsidRPr="00A958B2">
        <w:lastRenderedPageBreak/>
        <w:t>Documentation as contract: every function carries a one-line docstring stating its formula and its edge case, written as part of the function, not left to an external spec (Core Design Principles §8).</w:t>
      </w:r>
    </w:p>
    <w:p w14:paraId="65B2F242" w14:textId="77777777" w:rsidR="004546B9" w:rsidRPr="00A958B2" w:rsidRDefault="00000000">
      <w:pPr>
        <w:pStyle w:val="Heading1"/>
        <w:pBdr>
          <w:bottom w:val="single" w:sz="6" w:space="4" w:color="8EA9C1"/>
        </w:pBdr>
        <w:spacing w:before="300" w:after="140"/>
        <w:rPr>
          <w:color w:val="auto"/>
        </w:rPr>
      </w:pPr>
      <w:r w:rsidRPr="00A958B2">
        <w:rPr>
          <w:color w:val="auto"/>
        </w:rPr>
        <w:t>4. Infrastructure/Data Layer</w:t>
      </w:r>
    </w:p>
    <w:p w14:paraId="1D04B47B" w14:textId="77777777" w:rsidR="004546B9" w:rsidRPr="00A958B2" w:rsidRDefault="00000000">
      <w:pPr>
        <w:spacing w:after="110"/>
      </w:pPr>
      <w:proofErr w:type="spellStart"/>
      <w:r w:rsidRPr="00A958B2">
        <w:t>src</w:t>
      </w:r>
      <w:proofErr w:type="spellEnd"/>
      <w:r w:rsidRPr="00A958B2">
        <w:t xml:space="preserve">/lib/data/ isolates every </w:t>
      </w:r>
      <w:proofErr w:type="spellStart"/>
      <w:r w:rsidRPr="00A958B2">
        <w:t>Supabase</w:t>
      </w:r>
      <w:proofErr w:type="spellEnd"/>
      <w:r w:rsidRPr="00A958B2">
        <w:t>-specific call behind one wrapper (Adapter pattern):</w:t>
      </w:r>
    </w:p>
    <w:p w14:paraId="588C98BE" w14:textId="77777777" w:rsidR="004546B9" w:rsidRPr="00A958B2" w:rsidRDefault="00000000">
      <w:pPr>
        <w:pStyle w:val="ListParagraph"/>
        <w:numPr>
          <w:ilvl w:val="0"/>
          <w:numId w:val="2"/>
        </w:numPr>
        <w:spacing w:after="80"/>
      </w:pPr>
      <w:proofErr w:type="spellStart"/>
      <w:r w:rsidRPr="00A958B2">
        <w:rPr>
          <w:b/>
          <w:bCs/>
        </w:rPr>
        <w:t>supabase-client.ts</w:t>
      </w:r>
      <w:proofErr w:type="spellEnd"/>
      <w:r w:rsidRPr="00A958B2">
        <w:rPr>
          <w:b/>
          <w:bCs/>
        </w:rPr>
        <w:t xml:space="preserve"> </w:t>
      </w:r>
      <w:r w:rsidRPr="00A958B2">
        <w:t xml:space="preserve">— a single </w:t>
      </w:r>
      <w:proofErr w:type="spellStart"/>
      <w:proofErr w:type="gramStart"/>
      <w:r w:rsidRPr="00A958B2">
        <w:t>getSupabaseClient</w:t>
      </w:r>
      <w:proofErr w:type="spellEnd"/>
      <w:r w:rsidRPr="00A958B2">
        <w:t>(</w:t>
      </w:r>
      <w:proofErr w:type="gramEnd"/>
      <w:r w:rsidRPr="00A958B2">
        <w:t xml:space="preserve">) reading NEXT_PUBLIC_SUPABASE_URL / NEXT_PUBLIC_SUPABASE_ANON_KEY, throwing a clear </w:t>
      </w:r>
      <w:proofErr w:type="spellStart"/>
      <w:r w:rsidRPr="00A958B2">
        <w:t>DataAccessError</w:t>
      </w:r>
      <w:proofErr w:type="spellEnd"/>
      <w:r w:rsidRPr="00A958B2">
        <w:t xml:space="preserve"> (not a cryptic SDK error) if they're missing.</w:t>
      </w:r>
    </w:p>
    <w:p w14:paraId="24CC847F" w14:textId="77777777" w:rsidR="004546B9" w:rsidRPr="00A958B2" w:rsidRDefault="00000000">
      <w:pPr>
        <w:pStyle w:val="ListParagraph"/>
        <w:numPr>
          <w:ilvl w:val="0"/>
          <w:numId w:val="2"/>
        </w:numPr>
        <w:spacing w:after="80"/>
      </w:pPr>
      <w:proofErr w:type="spellStart"/>
      <w:r w:rsidRPr="00A958B2">
        <w:rPr>
          <w:b/>
          <w:bCs/>
        </w:rPr>
        <w:t>helpers.ts</w:t>
      </w:r>
      <w:proofErr w:type="spellEnd"/>
      <w:r w:rsidRPr="00A958B2">
        <w:rPr>
          <w:b/>
          <w:bCs/>
        </w:rPr>
        <w:t xml:space="preserve"> </w:t>
      </w:r>
      <w:r w:rsidRPr="00A958B2">
        <w:t xml:space="preserve">— a shared </w:t>
      </w:r>
      <w:proofErr w:type="spellStart"/>
      <w:proofErr w:type="gramStart"/>
      <w:r w:rsidRPr="00A958B2">
        <w:t>runSelect</w:t>
      </w:r>
      <w:proofErr w:type="spellEnd"/>
      <w:r w:rsidRPr="00A958B2">
        <w:t>(</w:t>
      </w:r>
      <w:proofErr w:type="gramEnd"/>
      <w:r w:rsidRPr="00A958B2">
        <w:t>) that runs a query and maps each raw row into a domain type, so a raw Postgres/</w:t>
      </w:r>
      <w:proofErr w:type="spellStart"/>
      <w:r w:rsidRPr="00A958B2">
        <w:t>Supabase</w:t>
      </w:r>
      <w:proofErr w:type="spellEnd"/>
      <w:r w:rsidRPr="00A958B2">
        <w:t xml:space="preserve"> error never reaches the Orchestration layer.</w:t>
      </w:r>
    </w:p>
    <w:p w14:paraId="5503BCF3" w14:textId="77777777" w:rsidR="004546B9" w:rsidRPr="00A958B2" w:rsidRDefault="00000000">
      <w:pPr>
        <w:pStyle w:val="ListParagraph"/>
        <w:numPr>
          <w:ilvl w:val="0"/>
          <w:numId w:val="2"/>
        </w:numPr>
        <w:spacing w:after="80"/>
      </w:pPr>
      <w:proofErr w:type="spellStart"/>
      <w:r w:rsidRPr="00A958B2">
        <w:rPr>
          <w:b/>
          <w:bCs/>
        </w:rPr>
        <w:t>rukisha-queries.ts</w:t>
      </w:r>
      <w:proofErr w:type="spellEnd"/>
      <w:r w:rsidRPr="00A958B2">
        <w:rPr>
          <w:b/>
          <w:bCs/>
        </w:rPr>
        <w:t xml:space="preserve">, </w:t>
      </w:r>
      <w:proofErr w:type="spellStart"/>
      <w:r w:rsidRPr="00A958B2">
        <w:rPr>
          <w:b/>
          <w:bCs/>
        </w:rPr>
        <w:t>cpf</w:t>
      </w:r>
      <w:proofErr w:type="spellEnd"/>
      <w:r w:rsidRPr="00A958B2">
        <w:rPr>
          <w:b/>
          <w:bCs/>
        </w:rPr>
        <w:t>-financial-services-</w:t>
      </w:r>
      <w:proofErr w:type="spellStart"/>
      <w:r w:rsidRPr="00A958B2">
        <w:rPr>
          <w:b/>
          <w:bCs/>
        </w:rPr>
        <w:t>queries.ts</w:t>
      </w:r>
      <w:proofErr w:type="spellEnd"/>
      <w:r w:rsidRPr="00A958B2">
        <w:rPr>
          <w:b/>
          <w:bCs/>
        </w:rPr>
        <w:t xml:space="preserve">, </w:t>
      </w:r>
      <w:proofErr w:type="spellStart"/>
      <w:r w:rsidRPr="00A958B2">
        <w:rPr>
          <w:b/>
          <w:bCs/>
        </w:rPr>
        <w:t>cpf</w:t>
      </w:r>
      <w:proofErr w:type="spellEnd"/>
      <w:r w:rsidRPr="00A958B2">
        <w:rPr>
          <w:b/>
          <w:bCs/>
        </w:rPr>
        <w:t>-capital-advisory-</w:t>
      </w:r>
      <w:proofErr w:type="spellStart"/>
      <w:r w:rsidRPr="00A958B2">
        <w:rPr>
          <w:b/>
          <w:bCs/>
        </w:rPr>
        <w:t>queries.ts</w:t>
      </w:r>
      <w:proofErr w:type="spellEnd"/>
      <w:r w:rsidRPr="00A958B2">
        <w:rPr>
          <w:b/>
          <w:bCs/>
        </w:rPr>
        <w:t>, group-</w:t>
      </w:r>
      <w:proofErr w:type="spellStart"/>
      <w:r w:rsidRPr="00A958B2">
        <w:rPr>
          <w:b/>
          <w:bCs/>
        </w:rPr>
        <w:t>queries.ts</w:t>
      </w:r>
      <w:proofErr w:type="spellEnd"/>
      <w:r w:rsidRPr="00A958B2">
        <w:rPr>
          <w:b/>
          <w:bCs/>
        </w:rPr>
        <w:t xml:space="preserve"> </w:t>
      </w:r>
      <w:r w:rsidRPr="00A958B2">
        <w:t xml:space="preserve">— one typed query function per table (e.g. </w:t>
      </w:r>
      <w:proofErr w:type="spellStart"/>
      <w:r w:rsidRPr="00A958B2">
        <w:t>getLoanAccounts</w:t>
      </w:r>
      <w:proofErr w:type="spellEnd"/>
      <w:r w:rsidRPr="00A958B2">
        <w:t xml:space="preserve">, </w:t>
      </w:r>
      <w:proofErr w:type="spellStart"/>
      <w:r w:rsidRPr="00A958B2">
        <w:t>getContributions</w:t>
      </w:r>
      <w:proofErr w:type="spellEnd"/>
      <w:r w:rsidRPr="00A958B2">
        <w:t xml:space="preserve">, </w:t>
      </w:r>
      <w:proofErr w:type="spellStart"/>
      <w:r w:rsidRPr="00A958B2">
        <w:t>getReitHoldings</w:t>
      </w:r>
      <w:proofErr w:type="spellEnd"/>
      <w:r w:rsidRPr="00A958B2">
        <w:t xml:space="preserve">), each with its own </w:t>
      </w:r>
      <w:proofErr w:type="spellStart"/>
      <w:r w:rsidRPr="00A958B2">
        <w:t>snake_case</w:t>
      </w:r>
      <w:proofErr w:type="spellEnd"/>
      <w:r w:rsidRPr="00A958B2">
        <w:t>-to-camelCase row mapper.</w:t>
      </w:r>
    </w:p>
    <w:p w14:paraId="0B7494B1" w14:textId="77777777" w:rsidR="004546B9" w:rsidRPr="00A958B2" w:rsidRDefault="00000000">
      <w:pPr>
        <w:spacing w:after="110"/>
      </w:pPr>
      <w:r w:rsidRPr="00A958B2">
        <w:t>No component outside this folder imports @supabase/supabase-js directly — every other layer reaches the database only through these functions, so swapping the backend later would touch this folder alone.</w:t>
      </w:r>
    </w:p>
    <w:p w14:paraId="1278F8AF" w14:textId="77777777" w:rsidR="004546B9" w:rsidRPr="00A958B2" w:rsidRDefault="00000000">
      <w:pPr>
        <w:pStyle w:val="Heading1"/>
        <w:pBdr>
          <w:bottom w:val="single" w:sz="6" w:space="4" w:color="8EA9C1"/>
        </w:pBdr>
        <w:spacing w:before="300" w:after="140"/>
        <w:rPr>
          <w:color w:val="auto"/>
        </w:rPr>
      </w:pPr>
      <w:r w:rsidRPr="00A958B2">
        <w:rPr>
          <w:color w:val="auto"/>
        </w:rPr>
        <w:t>5. Python Dummy-Data Generation</w:t>
      </w:r>
    </w:p>
    <w:p w14:paraId="45E915C2" w14:textId="77777777" w:rsidR="004546B9" w:rsidRPr="00A958B2" w:rsidRDefault="00000000">
      <w:pPr>
        <w:spacing w:after="110"/>
      </w:pPr>
      <w:r w:rsidRPr="00A958B2">
        <w:t xml:space="preserve">data/seed.py (a stub as of Phase 4) now has full generation logic: one parameterized function per table — </w:t>
      </w:r>
      <w:proofErr w:type="spellStart"/>
      <w:r w:rsidRPr="00A958B2">
        <w:t>generate_rukisha_</w:t>
      </w:r>
      <w:proofErr w:type="gramStart"/>
      <w:r w:rsidRPr="00A958B2">
        <w:t>loans</w:t>
      </w:r>
      <w:proofErr w:type="spellEnd"/>
      <w:r w:rsidRPr="00A958B2">
        <w:t>(</w:t>
      </w:r>
      <w:proofErr w:type="spellStart"/>
      <w:proofErr w:type="gramEnd"/>
      <w:r w:rsidRPr="00A958B2">
        <w:t>num_loans</w:t>
      </w:r>
      <w:proofErr w:type="spellEnd"/>
      <w:r w:rsidRPr="00A958B2">
        <w:t xml:space="preserve">=...), </w:t>
      </w:r>
      <w:proofErr w:type="spellStart"/>
      <w:r w:rsidRPr="00A958B2">
        <w:t>generate_pension_</w:t>
      </w:r>
      <w:proofErr w:type="gramStart"/>
      <w:r w:rsidRPr="00A958B2">
        <w:t>schemes</w:t>
      </w:r>
      <w:proofErr w:type="spellEnd"/>
      <w:r w:rsidRPr="00A958B2">
        <w:t>(</w:t>
      </w:r>
      <w:proofErr w:type="spellStart"/>
      <w:proofErr w:type="gramEnd"/>
      <w:r w:rsidRPr="00A958B2">
        <w:t>num_schemes</w:t>
      </w:r>
      <w:proofErr w:type="spellEnd"/>
      <w:r w:rsidRPr="00A958B2">
        <w:t xml:space="preserve">=...), </w:t>
      </w:r>
      <w:proofErr w:type="spellStart"/>
      <w:r w:rsidRPr="00A958B2">
        <w:t>generate_</w:t>
      </w:r>
      <w:proofErr w:type="gramStart"/>
      <w:r w:rsidRPr="00A958B2">
        <w:t>issuances</w:t>
      </w:r>
      <w:proofErr w:type="spellEnd"/>
      <w:r w:rsidRPr="00A958B2">
        <w:t>(</w:t>
      </w:r>
      <w:proofErr w:type="gramEnd"/>
      <w:r w:rsidRPr="00A958B2">
        <w:t>), and so on — none of them a hard-coded one-off script (Core Design Principles §5).</w:t>
      </w:r>
    </w:p>
    <w:p w14:paraId="19F4988F" w14:textId="77777777" w:rsidR="004546B9" w:rsidRPr="00A958B2" w:rsidRDefault="00000000">
      <w:pPr>
        <w:pStyle w:val="ListParagraph"/>
        <w:numPr>
          <w:ilvl w:val="0"/>
          <w:numId w:val="2"/>
        </w:numPr>
        <w:spacing w:after="80"/>
      </w:pPr>
      <w:r w:rsidRPr="00A958B2">
        <w:t xml:space="preserve">The three named Sukuk issuances (LNZ-SK-01, LNZ-SK-02, LNZ-SK-KDF) are generated with the same subscription-rate figures already shown in the dashboard </w:t>
      </w:r>
      <w:proofErr w:type="spellStart"/>
      <w:r w:rsidRPr="00A958B2">
        <w:t>mockup</w:t>
      </w:r>
      <w:proofErr w:type="spellEnd"/>
      <w:r w:rsidRPr="00A958B2">
        <w:t>, so the seeded data and the UI reference the same story.</w:t>
      </w:r>
    </w:p>
    <w:p w14:paraId="578D5AB3" w14:textId="77777777" w:rsidR="004546B9" w:rsidRPr="00A958B2" w:rsidRDefault="00000000">
      <w:pPr>
        <w:pStyle w:val="ListParagraph"/>
        <w:numPr>
          <w:ilvl w:val="0"/>
          <w:numId w:val="2"/>
        </w:numPr>
        <w:spacing w:after="80"/>
      </w:pPr>
      <w:proofErr w:type="spellStart"/>
      <w:r w:rsidRPr="00A958B2">
        <w:t>generate_</w:t>
      </w:r>
      <w:proofErr w:type="gramStart"/>
      <w:r w:rsidRPr="00A958B2">
        <w:t>all</w:t>
      </w:r>
      <w:proofErr w:type="spellEnd"/>
      <w:r w:rsidRPr="00A958B2">
        <w:t>(</w:t>
      </w:r>
      <w:proofErr w:type="gramEnd"/>
      <w:r w:rsidRPr="00A958B2">
        <w:t xml:space="preserve">) assembles every table into one </w:t>
      </w:r>
      <w:proofErr w:type="spellStart"/>
      <w:r w:rsidRPr="00A958B2">
        <w:t>dict</w:t>
      </w:r>
      <w:proofErr w:type="spellEnd"/>
      <w:r w:rsidRPr="00A958B2">
        <w:t xml:space="preserve"> of </w:t>
      </w:r>
      <w:proofErr w:type="spellStart"/>
      <w:r w:rsidRPr="00A958B2">
        <w:t>DataFrames</w:t>
      </w:r>
      <w:proofErr w:type="spellEnd"/>
      <w:r w:rsidRPr="00A958B2">
        <w:t xml:space="preserve">; </w:t>
      </w:r>
      <w:proofErr w:type="spellStart"/>
      <w:r w:rsidRPr="00A958B2">
        <w:t>load_to_</w:t>
      </w:r>
      <w:proofErr w:type="gramStart"/>
      <w:r w:rsidRPr="00A958B2">
        <w:t>postgres</w:t>
      </w:r>
      <w:proofErr w:type="spellEnd"/>
      <w:r w:rsidRPr="00A958B2">
        <w:t>(</w:t>
      </w:r>
      <w:proofErr w:type="gramEnd"/>
      <w:r w:rsidRPr="00A958B2">
        <w:t xml:space="preserve">) loads them via </w:t>
      </w:r>
      <w:proofErr w:type="spellStart"/>
      <w:r w:rsidRPr="00A958B2">
        <w:t>SQLAlchemy</w:t>
      </w:r>
      <w:proofErr w:type="spellEnd"/>
      <w:r w:rsidRPr="00A958B2">
        <w:t xml:space="preserve"> against DATABASE_URL — not yet run, since </w:t>
      </w:r>
      <w:proofErr w:type="spellStart"/>
      <w:r w:rsidRPr="00A958B2">
        <w:t>Supabase</w:t>
      </w:r>
      <w:proofErr w:type="spellEnd"/>
      <w:r w:rsidRPr="00A958B2">
        <w:t xml:space="preserve"> is not provisioned yet (Phase 4 §10).</w:t>
      </w:r>
    </w:p>
    <w:p w14:paraId="64DD5A12" w14:textId="77777777" w:rsidR="004546B9" w:rsidRPr="00A958B2" w:rsidRDefault="00000000">
      <w:pPr>
        <w:pStyle w:val="Heading1"/>
        <w:pBdr>
          <w:bottom w:val="single" w:sz="6" w:space="4" w:color="8EA9C1"/>
        </w:pBdr>
        <w:spacing w:before="300" w:after="140"/>
        <w:rPr>
          <w:color w:val="auto"/>
        </w:rPr>
      </w:pPr>
      <w:r w:rsidRPr="00A958B2">
        <w:rPr>
          <w:color w:val="auto"/>
        </w:rPr>
        <w:t>6. Verification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666"/>
      </w:tblGrid>
      <w:tr w:rsidR="004546B9" w:rsidRPr="00A958B2" w14:paraId="068378F6" w14:textId="77777777" w:rsidTr="00874559">
        <w:tblPrEx>
          <w:tblCellMar>
            <w:top w:w="0" w:type="dxa"/>
            <w:bottom w:w="0" w:type="dxa"/>
          </w:tblCellMar>
        </w:tblPrEx>
        <w:tc>
          <w:tcPr>
            <w:tcW w:w="2800" w:type="dxa"/>
            <w:shd w:val="clear" w:color="auto" w:fill="FFFFFF" w:themeFill="background1"/>
            <w:tcMar>
              <w:top w:w="80" w:type="dxa"/>
              <w:left w:w="100" w:type="dxa"/>
              <w:bottom w:w="80" w:type="dxa"/>
              <w:right w:w="100" w:type="dxa"/>
            </w:tcMar>
          </w:tcPr>
          <w:p w14:paraId="1AD5449A" w14:textId="77777777" w:rsidR="004546B9" w:rsidRPr="00A958B2" w:rsidRDefault="00000000">
            <w:r w:rsidRPr="00A958B2">
              <w:rPr>
                <w:b/>
                <w:bCs/>
                <w:sz w:val="18"/>
                <w:szCs w:val="18"/>
              </w:rPr>
              <w:t>Check</w:t>
            </w:r>
          </w:p>
        </w:tc>
        <w:tc>
          <w:tcPr>
            <w:tcW w:w="7666" w:type="dxa"/>
            <w:shd w:val="clear" w:color="auto" w:fill="FFFFFF" w:themeFill="background1"/>
            <w:tcMar>
              <w:top w:w="80" w:type="dxa"/>
              <w:left w:w="100" w:type="dxa"/>
              <w:bottom w:w="80" w:type="dxa"/>
              <w:right w:w="100" w:type="dxa"/>
            </w:tcMar>
          </w:tcPr>
          <w:p w14:paraId="02B5762E" w14:textId="77777777" w:rsidR="004546B9" w:rsidRPr="00A958B2" w:rsidRDefault="00000000">
            <w:r w:rsidRPr="00A958B2">
              <w:rPr>
                <w:b/>
                <w:bCs/>
                <w:sz w:val="18"/>
                <w:szCs w:val="18"/>
              </w:rPr>
              <w:t>Result</w:t>
            </w:r>
          </w:p>
        </w:tc>
      </w:tr>
      <w:tr w:rsidR="004546B9" w:rsidRPr="00A958B2" w14:paraId="521DBE66" w14:textId="77777777">
        <w:tblPrEx>
          <w:tblCellMar>
            <w:top w:w="0" w:type="dxa"/>
            <w:bottom w:w="0" w:type="dxa"/>
          </w:tblCellMar>
        </w:tblPrEx>
        <w:tc>
          <w:tcPr>
            <w:tcW w:w="2800" w:type="dxa"/>
            <w:tcMar>
              <w:top w:w="80" w:type="dxa"/>
              <w:left w:w="100" w:type="dxa"/>
              <w:bottom w:w="80" w:type="dxa"/>
              <w:right w:w="100" w:type="dxa"/>
            </w:tcMar>
          </w:tcPr>
          <w:p w14:paraId="7CC43C53" w14:textId="77777777" w:rsidR="004546B9" w:rsidRPr="00A958B2" w:rsidRDefault="00000000">
            <w:proofErr w:type="spellStart"/>
            <w:r w:rsidRPr="00A958B2">
              <w:rPr>
                <w:sz w:val="18"/>
                <w:szCs w:val="18"/>
              </w:rPr>
              <w:t>npx</w:t>
            </w:r>
            <w:proofErr w:type="spellEnd"/>
            <w:r w:rsidRPr="00A958B2">
              <w:rPr>
                <w:sz w:val="18"/>
                <w:szCs w:val="18"/>
              </w:rPr>
              <w:t xml:space="preserve"> </w:t>
            </w:r>
            <w:proofErr w:type="spellStart"/>
            <w:r w:rsidRPr="00A958B2">
              <w:rPr>
                <w:sz w:val="18"/>
                <w:szCs w:val="18"/>
              </w:rPr>
              <w:t>tsc</w:t>
            </w:r>
            <w:proofErr w:type="spellEnd"/>
            <w:r w:rsidRPr="00A958B2">
              <w:rPr>
                <w:sz w:val="18"/>
                <w:szCs w:val="18"/>
              </w:rPr>
              <w:t xml:space="preserve"> --</w:t>
            </w:r>
            <w:proofErr w:type="spellStart"/>
            <w:r w:rsidRPr="00A958B2">
              <w:rPr>
                <w:sz w:val="18"/>
                <w:szCs w:val="18"/>
              </w:rPr>
              <w:t>noEmit</w:t>
            </w:r>
            <w:proofErr w:type="spellEnd"/>
          </w:p>
        </w:tc>
        <w:tc>
          <w:tcPr>
            <w:tcW w:w="7666" w:type="dxa"/>
            <w:tcMar>
              <w:top w:w="80" w:type="dxa"/>
              <w:left w:w="100" w:type="dxa"/>
              <w:bottom w:w="80" w:type="dxa"/>
              <w:right w:w="100" w:type="dxa"/>
            </w:tcMar>
          </w:tcPr>
          <w:p w14:paraId="0F4B2D83" w14:textId="77777777" w:rsidR="004546B9" w:rsidRPr="00A958B2" w:rsidRDefault="00000000">
            <w:r w:rsidRPr="00A958B2">
              <w:rPr>
                <w:sz w:val="18"/>
                <w:szCs w:val="18"/>
              </w:rPr>
              <w:t>Passed — no type errors</w:t>
            </w:r>
          </w:p>
        </w:tc>
      </w:tr>
      <w:tr w:rsidR="004546B9" w:rsidRPr="00A958B2" w14:paraId="33BE3623" w14:textId="77777777">
        <w:tblPrEx>
          <w:tblCellMar>
            <w:top w:w="0" w:type="dxa"/>
            <w:bottom w:w="0" w:type="dxa"/>
          </w:tblCellMar>
        </w:tblPrEx>
        <w:tc>
          <w:tcPr>
            <w:tcW w:w="2800" w:type="dxa"/>
            <w:tcMar>
              <w:top w:w="80" w:type="dxa"/>
              <w:left w:w="100" w:type="dxa"/>
              <w:bottom w:w="80" w:type="dxa"/>
              <w:right w:w="100" w:type="dxa"/>
            </w:tcMar>
          </w:tcPr>
          <w:p w14:paraId="5A1E37A7" w14:textId="77777777" w:rsidR="004546B9" w:rsidRPr="00A958B2" w:rsidRDefault="00000000">
            <w:proofErr w:type="spellStart"/>
            <w:r w:rsidRPr="00A958B2">
              <w:rPr>
                <w:sz w:val="18"/>
                <w:szCs w:val="18"/>
              </w:rPr>
              <w:t>npm</w:t>
            </w:r>
            <w:proofErr w:type="spellEnd"/>
            <w:r w:rsidRPr="00A958B2">
              <w:rPr>
                <w:sz w:val="18"/>
                <w:szCs w:val="18"/>
              </w:rPr>
              <w:t xml:space="preserve"> run lint</w:t>
            </w:r>
          </w:p>
        </w:tc>
        <w:tc>
          <w:tcPr>
            <w:tcW w:w="7666" w:type="dxa"/>
            <w:tcMar>
              <w:top w:w="80" w:type="dxa"/>
              <w:left w:w="100" w:type="dxa"/>
              <w:bottom w:w="80" w:type="dxa"/>
              <w:right w:w="100" w:type="dxa"/>
            </w:tcMar>
          </w:tcPr>
          <w:p w14:paraId="5449F163" w14:textId="77777777" w:rsidR="004546B9" w:rsidRPr="00A958B2" w:rsidRDefault="00000000">
            <w:r w:rsidRPr="00A958B2">
              <w:rPr>
                <w:sz w:val="18"/>
                <w:szCs w:val="18"/>
              </w:rPr>
              <w:t>Passed — exit code 0</w:t>
            </w:r>
          </w:p>
        </w:tc>
      </w:tr>
      <w:tr w:rsidR="004546B9" w:rsidRPr="00A958B2" w14:paraId="18A77995" w14:textId="77777777">
        <w:tblPrEx>
          <w:tblCellMar>
            <w:top w:w="0" w:type="dxa"/>
            <w:bottom w:w="0" w:type="dxa"/>
          </w:tblCellMar>
        </w:tblPrEx>
        <w:tc>
          <w:tcPr>
            <w:tcW w:w="2800" w:type="dxa"/>
            <w:tcMar>
              <w:top w:w="80" w:type="dxa"/>
              <w:left w:w="100" w:type="dxa"/>
              <w:bottom w:w="80" w:type="dxa"/>
              <w:right w:w="100" w:type="dxa"/>
            </w:tcMar>
          </w:tcPr>
          <w:p w14:paraId="232FA805" w14:textId="77777777" w:rsidR="004546B9" w:rsidRPr="00A958B2" w:rsidRDefault="00000000">
            <w:proofErr w:type="spellStart"/>
            <w:r w:rsidRPr="00A958B2">
              <w:rPr>
                <w:sz w:val="18"/>
                <w:szCs w:val="18"/>
              </w:rPr>
              <w:t>npm</w:t>
            </w:r>
            <w:proofErr w:type="spellEnd"/>
            <w:r w:rsidRPr="00A958B2">
              <w:rPr>
                <w:sz w:val="18"/>
                <w:szCs w:val="18"/>
              </w:rPr>
              <w:t xml:space="preserve"> run build</w:t>
            </w:r>
          </w:p>
        </w:tc>
        <w:tc>
          <w:tcPr>
            <w:tcW w:w="7666" w:type="dxa"/>
            <w:tcMar>
              <w:top w:w="80" w:type="dxa"/>
              <w:left w:w="100" w:type="dxa"/>
              <w:bottom w:w="80" w:type="dxa"/>
              <w:right w:w="100" w:type="dxa"/>
            </w:tcMar>
          </w:tcPr>
          <w:p w14:paraId="764D9058" w14:textId="77777777" w:rsidR="004546B9" w:rsidRPr="00A958B2" w:rsidRDefault="00000000">
            <w:r w:rsidRPr="00A958B2">
              <w:rPr>
                <w:sz w:val="18"/>
                <w:szCs w:val="18"/>
              </w:rPr>
              <w:t>Passed — compiled and generated static pages successfully</w:t>
            </w:r>
          </w:p>
        </w:tc>
      </w:tr>
      <w:tr w:rsidR="004546B9" w:rsidRPr="00A958B2" w14:paraId="2DE3F4A8" w14:textId="77777777">
        <w:tblPrEx>
          <w:tblCellMar>
            <w:top w:w="0" w:type="dxa"/>
            <w:bottom w:w="0" w:type="dxa"/>
          </w:tblCellMar>
        </w:tblPrEx>
        <w:tc>
          <w:tcPr>
            <w:tcW w:w="2800" w:type="dxa"/>
            <w:tcMar>
              <w:top w:w="80" w:type="dxa"/>
              <w:left w:w="100" w:type="dxa"/>
              <w:bottom w:w="80" w:type="dxa"/>
              <w:right w:w="100" w:type="dxa"/>
            </w:tcMar>
          </w:tcPr>
          <w:p w14:paraId="6BEFF51C" w14:textId="77777777" w:rsidR="004546B9" w:rsidRPr="00A958B2" w:rsidRDefault="00000000">
            <w:r w:rsidRPr="00A958B2">
              <w:rPr>
                <w:sz w:val="18"/>
                <w:szCs w:val="18"/>
              </w:rPr>
              <w:t>Pre-commit hook</w:t>
            </w:r>
          </w:p>
        </w:tc>
        <w:tc>
          <w:tcPr>
            <w:tcW w:w="7666" w:type="dxa"/>
            <w:tcMar>
              <w:top w:w="80" w:type="dxa"/>
              <w:left w:w="100" w:type="dxa"/>
              <w:bottom w:w="80" w:type="dxa"/>
              <w:right w:w="100" w:type="dxa"/>
            </w:tcMar>
          </w:tcPr>
          <w:p w14:paraId="6F9B24E9" w14:textId="77777777" w:rsidR="004546B9" w:rsidRPr="00A958B2" w:rsidRDefault="00000000">
            <w:r w:rsidRPr="00A958B2">
              <w:rPr>
                <w:sz w:val="18"/>
                <w:szCs w:val="18"/>
              </w:rPr>
              <w:t>Fired correctly — lint-staged reformatted the new files on commit</w:t>
            </w:r>
          </w:p>
        </w:tc>
      </w:tr>
    </w:tbl>
    <w:p w14:paraId="1D2DAE2B" w14:textId="77777777" w:rsidR="004546B9" w:rsidRPr="00A958B2" w:rsidRDefault="00000000">
      <w:pPr>
        <w:pStyle w:val="Heading1"/>
        <w:pBdr>
          <w:bottom w:val="single" w:sz="6" w:space="4" w:color="8EA9C1"/>
        </w:pBdr>
        <w:spacing w:before="300" w:after="140"/>
        <w:rPr>
          <w:color w:val="auto"/>
        </w:rPr>
      </w:pPr>
      <w:r w:rsidRPr="00A958B2">
        <w:rPr>
          <w:color w:val="auto"/>
        </w:rPr>
        <w:t>7. Git History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4546B9" w:rsidRPr="00A958B2" w14:paraId="29646BDD" w14:textId="77777777">
        <w:tblPrEx>
          <w:tblCellMar>
            <w:top w:w="0" w:type="dxa"/>
            <w:bottom w:w="0" w:type="dxa"/>
          </w:tblCellMar>
        </w:tblPrEx>
        <w:tc>
          <w:tcPr>
            <w:tcW w:w="10466" w:type="dxa"/>
            <w:shd w:val="clear" w:color="auto" w:fill="F3F6FA"/>
            <w:tcMar>
              <w:top w:w="140" w:type="dxa"/>
              <w:left w:w="180" w:type="dxa"/>
              <w:bottom w:w="140" w:type="dxa"/>
              <w:right w:w="180" w:type="dxa"/>
            </w:tcMar>
          </w:tcPr>
          <w:p w14:paraId="7C7F78FD" w14:textId="77777777" w:rsidR="004546B9" w:rsidRPr="00A958B2" w:rsidRDefault="00000000">
            <w:r w:rsidRPr="00A958B2">
              <w:rPr>
                <w:rFonts w:ascii="Consolas" w:eastAsia="Consolas" w:hAnsi="Consolas" w:cs="Consolas"/>
                <w:sz w:val="18"/>
                <w:szCs w:val="18"/>
              </w:rPr>
              <w:t>e</w:t>
            </w:r>
            <w:proofErr w:type="gramStart"/>
            <w:r w:rsidRPr="00A958B2">
              <w:rPr>
                <w:rFonts w:ascii="Consolas" w:eastAsia="Consolas" w:hAnsi="Consolas" w:cs="Consolas"/>
                <w:sz w:val="18"/>
                <w:szCs w:val="18"/>
              </w:rPr>
              <w:t>372183  feat</w:t>
            </w:r>
            <w:proofErr w:type="gramEnd"/>
            <w:r w:rsidRPr="00A958B2">
              <w:rPr>
                <w:rFonts w:ascii="Consolas" w:eastAsia="Consolas" w:hAnsi="Consolas" w:cs="Consolas"/>
                <w:sz w:val="18"/>
                <w:szCs w:val="18"/>
              </w:rPr>
              <w:t>: domain types, core calculation functions, and data access layer</w:t>
            </w:r>
          </w:p>
          <w:p w14:paraId="41518C27" w14:textId="77777777" w:rsidR="004546B9" w:rsidRPr="00A958B2" w:rsidRDefault="00000000">
            <w:r w:rsidRPr="00A958B2">
              <w:rPr>
                <w:rFonts w:ascii="Consolas" w:eastAsia="Consolas" w:hAnsi="Consolas" w:cs="Consolas"/>
                <w:sz w:val="18"/>
                <w:szCs w:val="18"/>
              </w:rPr>
              <w:t>a73c7c</w:t>
            </w:r>
            <w:proofErr w:type="gramStart"/>
            <w:r w:rsidRPr="00A958B2">
              <w:rPr>
                <w:rFonts w:ascii="Consolas" w:eastAsia="Consolas" w:hAnsi="Consolas" w:cs="Consolas"/>
                <w:sz w:val="18"/>
                <w:szCs w:val="18"/>
              </w:rPr>
              <w:t>8  chore</w:t>
            </w:r>
            <w:proofErr w:type="gramEnd"/>
            <w:r w:rsidRPr="00A958B2">
              <w:rPr>
                <w:rFonts w:ascii="Consolas" w:eastAsia="Consolas" w:hAnsi="Consolas" w:cs="Consolas"/>
                <w:sz w:val="18"/>
                <w:szCs w:val="18"/>
              </w:rPr>
              <w:t>: Phase 4 environment and CI/CD setup</w:t>
            </w:r>
          </w:p>
          <w:p w14:paraId="707A92F3" w14:textId="77777777" w:rsidR="004546B9" w:rsidRPr="00A958B2" w:rsidRDefault="00000000">
            <w:r w:rsidRPr="00A958B2">
              <w:rPr>
                <w:rFonts w:ascii="Consolas" w:eastAsia="Consolas" w:hAnsi="Consolas" w:cs="Consolas"/>
                <w:sz w:val="18"/>
                <w:szCs w:val="18"/>
              </w:rPr>
              <w:t>d5f08b</w:t>
            </w:r>
            <w:proofErr w:type="gramStart"/>
            <w:r w:rsidRPr="00A958B2">
              <w:rPr>
                <w:rFonts w:ascii="Consolas" w:eastAsia="Consolas" w:hAnsi="Consolas" w:cs="Consolas"/>
                <w:sz w:val="18"/>
                <w:szCs w:val="18"/>
              </w:rPr>
              <w:t>0  Initial</w:t>
            </w:r>
            <w:proofErr w:type="gramEnd"/>
            <w:r w:rsidRPr="00A958B2">
              <w:rPr>
                <w:rFonts w:ascii="Consolas" w:eastAsia="Consolas" w:hAnsi="Consolas" w:cs="Consolas"/>
                <w:sz w:val="18"/>
                <w:szCs w:val="18"/>
              </w:rPr>
              <w:t xml:space="preserve"> commit from Create Next App</w:t>
            </w:r>
          </w:p>
        </w:tc>
      </w:tr>
    </w:tbl>
    <w:p w14:paraId="0C8AD33B" w14:textId="77777777" w:rsidR="004546B9" w:rsidRPr="00A958B2" w:rsidRDefault="00000000">
      <w:pPr>
        <w:pStyle w:val="Heading1"/>
        <w:pBdr>
          <w:bottom w:val="single" w:sz="6" w:space="4" w:color="8EA9C1"/>
        </w:pBdr>
        <w:spacing w:before="300" w:after="140"/>
        <w:rPr>
          <w:color w:val="auto"/>
        </w:rPr>
      </w:pPr>
      <w:r w:rsidRPr="00A958B2">
        <w:rPr>
          <w:color w:val="auto"/>
        </w:rPr>
        <w:t>8. Outstanding Work</w:t>
      </w:r>
    </w:p>
    <w:p w14:paraId="44D63F06" w14:textId="77777777" w:rsidR="004546B9" w:rsidRPr="00A958B2" w:rsidRDefault="00000000">
      <w:pPr>
        <w:spacing w:after="110"/>
      </w:pPr>
      <w:r w:rsidRPr="00A958B2">
        <w:t>The two remaining layers, in the order they will be built:</w:t>
      </w:r>
    </w:p>
    <w:p w14:paraId="6A3C92AF" w14:textId="77777777" w:rsidR="004546B9" w:rsidRPr="00A958B2" w:rsidRDefault="00000000">
      <w:pPr>
        <w:pStyle w:val="ListParagraph"/>
        <w:numPr>
          <w:ilvl w:val="0"/>
          <w:numId w:val="2"/>
        </w:numPr>
        <w:spacing w:after="80"/>
      </w:pPr>
      <w:r>
        <w:t>✓ Complete — Orchestration Layer — sequencing fetch (Infrastructure/Data) → calculate (Core Logic) → shape-for-UI, one function per view. In Next.js App Router this will largely live in Server Components rather than separate API route files, which is idiomatic for a read-only dashboard.</w:t>
      </w:r>
    </w:p>
    <w:p w14:paraId="30D424AF" w14:textId="77777777" w:rsidR="004546B9" w:rsidRPr="00A958B2" w:rsidRDefault="00000000">
      <w:pPr>
        <w:pStyle w:val="ListParagraph"/>
        <w:numPr>
          <w:ilvl w:val="0"/>
          <w:numId w:val="2"/>
        </w:numPr>
        <w:spacing w:after="80"/>
      </w:pPr>
      <w:r>
        <w:t>✓ Complete — Entry/Interface (UI) Layer — translating the approved dashboard mockup into React/TypeScript components: the horizontal collapsible navigation, KPI tile cards with info tooltips, trend/bullet charts, the alerts panel, the period switch, the Group Comparison View, the About page, and the footer.</w:t>
      </w:r>
    </w:p>
    <w:p w14:paraId="559010A2" w14:textId="77777777" w:rsidR="004546B9" w:rsidRPr="00A958B2" w:rsidRDefault="00000000">
      <w:pPr>
        <w:pStyle w:val="ListParagraph"/>
        <w:numPr>
          <w:ilvl w:val="0"/>
          <w:numId w:val="2"/>
        </w:numPr>
        <w:spacing w:after="80"/>
      </w:pPr>
      <w:r>
        <w:t>✓ Complete — Wiring the Python seed data into a provisioned Supabase project, once the manual account setup from Phase 4 §10 is complete.</w:t>
      </w:r>
    </w:p>
    <w:p w14:paraId="12DB067F" w14:textId="77777777" w:rsidR="004546B9" w:rsidRPr="00A958B2" w:rsidRDefault="004546B9">
      <w:pPr>
        <w:spacing w:before="200"/>
      </w:pPr>
    </w:p>
    <w:p w14:paraId="77950256" w14:textId="77777777" w:rsidR="004546B9" w:rsidRPr="00A958B2" w:rsidRDefault="00000000">
      <w:pPr>
        <w:spacing w:after="110"/>
      </w:pPr>
      <w:r>
        <w:t>Status: all four remaining layers (Orchestration, Entry/Interface UI, and the Supabase wiring) have since been completed and verified against a provisioned Supabase project. The Execution Plan's full Phase 5 deliverable (“a functional dashboard covering all three subsidiaries, running locally, passing CI on every push”) is met. This document originally recorded a partial, bottom-three-layers-only snapshot; that snapshot is preserved above for history. Section 9 below records new UI/product enhancement scope added after this completion, ahead of Phase 6 Testing.</w:t>
      </w:r>
    </w:p>
    <w:p>
      <w:r>
        <w:br w:type="page"/>
      </w:r>
    </w:p>
    <w:p>
      <w:pPr>
        <w:pStyle w:val="Heading1"/>
      </w:pPr>
      <w:r>
        <w:t>9. Phase 5 Development Updates — Extended UI Enhancements</w:t>
      </w:r>
    </w:p>
    <w:p>
      <w:pPr>
        <w:pStyle w:val="Heading2"/>
      </w:pPr>
      <w:r>
        <w:t>9.0 Chronology and status</w:t>
      </w:r>
    </w:p>
    <w:p>
      <w:pPr/>
      <w:r>
        <w:t>The original Phase 5 — Development scope (Sections 1–8 above) is COMPLETE. All five build layers — Data generation, Infrastructure/Data, Core Logic, Orchestration, and Entry/Interface (UI) — are implemented, verified, merged to main, and passing CI (format check, lint, build) on every push. This was independently audited against this document and the Week 7 &amp; 8 Execution Plan's Phase 5 task list; the verdict was “COMPLETE WITH DOCUMENTED EXCEPTIONS”, the exceptions being the Phase 1 Scope Note's explicit exclusions (no authentication, no live data feed, no production security hardening, no mobile app, no real financial data).</w:t>
      </w:r>
    </w:p>
    <w:p>
      <w:pPr/>
      <w:r>
        <w:t>This section records a deliberate, controlled extension of the Development stage: new UI/product enhancement requirements, added after the original Phase 5 scope was completed and before Phase 6 — Testing begins. This is not a correction to the original scope and does not change the COMPLETE status recorded above. It is new work, sequenced to run before Phase 6 so that Phase 6 becomes a single comprehensive validation cycle against the final combined product, rather than two separate test cycles.</w:t>
      </w:r>
    </w:p>
    <w:p>
      <w:pPr>
        <w:pStyle w:val="Heading2"/>
      </w:pPr>
      <w:r>
        <w:t>9.0.1 Scope protection — Phase 1 exclusions remain excluded</w:t>
      </w:r>
    </w:p>
    <w:p>
      <w:pPr/>
      <w:r>
        <w:t>Every item the Phase 1 Scope Note declared out of scope remains out of scope for this extension. Specifically, none of the following are introduced, planned, or implied by Sections 9.1–9.7 below:</w:t>
      </w:r>
    </w:p>
    <w:p>
      <w:pPr>
        <w:pStyle w:val="ListParagraph"/>
      </w:pPr>
      <w:r>
        <w:t>Real authentication, identity management, or backend auth infrastructure.</w:t>
      </w:r>
    </w:p>
    <w:p>
      <w:pPr>
        <w:pStyle w:val="ListParagraph"/>
      </w:pPr>
      <w:r>
        <w:t>Real user accounts or production login/logout systems.</w:t>
      </w:r>
    </w:p>
    <w:p>
      <w:pPr>
        <w:pStyle w:val="ListParagraph"/>
      </w:pPr>
      <w:r>
        <w:t>Real financial data (all data generation remains Python/pandas dummy data).</w:t>
      </w:r>
    </w:p>
    <w:p>
      <w:pPr>
        <w:pStyle w:val="ListParagraph"/>
      </w:pPr>
      <w:r>
        <w:t>A live data feed (Supabase remains fed only by data/seed.py).</w:t>
      </w:r>
    </w:p>
    <w:p>
      <w:pPr>
        <w:pStyle w:val="ListParagraph"/>
      </w:pPr>
      <w:r>
        <w:t>Production security hardening.</w:t>
      </w:r>
    </w:p>
    <w:p>
      <w:pPr>
        <w:pStyle w:val="ListParagraph"/>
      </w:pPr>
      <w:r>
        <w:t>A native/mobile application (responsive web layout only).</w:t>
      </w:r>
    </w:p>
    <w:p>
      <w:pPr/>
      <w:r>
        <w:t>Where a requested enhancement (notably §9.6, Profile Dropdown) would naturally imply one of these exclusions if implemented the obvious way, this document identifies the conflict explicitly and proposes the narrowest in-scope alternative, per the instruction governing this planning exercise. No exclusion is silently relaxed.</w:t>
      </w:r>
    </w:p>
    <w:p>
      <w:pPr>
        <w:pStyle w:val="Heading2"/>
      </w:pPr>
      <w:r>
        <w:t>9.1 Enhancement 1 — Service Dropdown (Single Service View)</w:t>
      </w:r>
    </w:p>
    <w:p>
      <w:pPr>
        <w:pStyle w:val="Heading3"/>
      </w:pPr>
      <w:r>
        <w:t>Current state</w:t>
      </w:r>
    </w:p>
    <w:p>
      <w:pPr/>
      <w:r>
        <w:t>DashboardShell.tsx holds all interactive state (active tab, nav-open, alerts-open, period) in local useState. The 'content' block (DashboardShell.tsx, around line 191) maps over ALL of a subsidiary's pillar.pillars and renders every pillar's KPI tile grid + chart stacked vertically in one scroll — e.g. Rukisha always shows Lending, Payments &amp; Transfers, and Savings together, with no way to view one pillar at a time. There is no dropdown/select control anywhere in the current UI.</w:t>
      </w:r>
    </w:p>
    <w:p>
      <w:pPr>
        <w:pStyle w:val="Heading3"/>
      </w:pPr>
      <w:r>
        <w:t>Requirement</w:t>
      </w:r>
    </w:p>
    <w:p>
      <w:pPr/>
      <w:r>
        <w:t>Add a single-service-at-a-time view selector so a user can narrow a subsidiary's view down to one pillar (e.g. Rukisha → Lending only) instead of scrolling through all pillars stacked vertically.</w:t>
      </w:r>
    </w:p>
    <w:p>
      <w:pPr>
        <w:pStyle w:val="Heading3"/>
      </w:pPr>
      <w:r>
        <w:t>Architecture decision</w:t>
      </w:r>
    </w:p>
    <w:p>
      <w:pPr/>
      <w:r>
        <w:t>State should live in DashboardShell (the existing single source of UI state), as a new useState&lt;string | 'all'&gt; keyed per subsidiary tab, reset to 'all' whenever the active tab changes. It is view-specific, not global: Rukisha's pillar options (Lending / Payments &amp; Transfers / Savings) are meaningless on the CPF Financial Services tab. The dropdown should render only on the three subsidiary tabs (Rukisha, CPF Financial Services, CPF Capital &amp; Advisory) where more than one pillar exists; it must not render on Group View or About, since neither has a 'pillars' concept — Group View already uses fixed Snapshot/Connection/Scorecard sub-sections and About is single-content.</w:t>
      </w:r>
    </w:p>
    <w:p>
      <w:pPr/>
      <w:r>
        <w:t>Options per view, derived directly from each SubsidiaryView's existing pillar titles:</w:t>
      </w:r>
    </w:p>
    <w:p>
      <w:pPr>
        <w:pStyle w:val="ListParagraph"/>
      </w:pPr>
      <w:r>
        <w:t>Rukisha: All / Lending / Payments &amp; Transfers / Savings</w:t>
      </w:r>
    </w:p>
    <w:p>
      <w:pPr>
        <w:pStyle w:val="ListParagraph"/>
      </w:pPr>
      <w:r>
        <w:t>CPF Financial Services: All / Pension Fund Administration / Trust Fund Administration / Agency Services</w:t>
      </w:r>
    </w:p>
    <w:p>
      <w:pPr>
        <w:pStyle w:val="ListParagraph"/>
      </w:pPr>
      <w:r>
        <w:t>CPF Capital &amp; Advisory: All / Alternative Investments (REITs) / Structured &amp; Project Finance Advisory / Debt Capital Markets (Sukuk/Bonds)</w:t>
      </w:r>
    </w:p>
    <w:p>
      <w:pPr>
        <w:pStyle w:val="ListParagraph"/>
      </w:pPr>
      <w:r>
        <w:t>Group View: no dropdown — fixed three-section layout is retained as-is.</w:t>
      </w:r>
    </w:p>
    <w:p>
      <w:pPr>
        <w:pStyle w:val="ListParagraph"/>
      </w:pPr>
      <w:r>
        <w:t>About: no dropdown — single content block is retained as-is.</w:t>
      </w:r>
    </w:p>
    <w:p>
      <w:pPr/>
      <w:r>
        <w:t>No routing dependency: this is filtered client-side rendering of pillar.pillars.filter(...), not a navigation change. It composes cleanly with Enhancement 2 (routing) if that lands later — the dropdown value can become a query parameter on the subsidiary route rather than local state, without changing the dropdown's own behavior.</w:t>
      </w:r>
    </w:p>
    <w:p>
      <w:pPr>
        <w:pStyle w:val="Heading3"/>
      </w:pPr>
      <w:r>
        <w:t>Mobile/responsive behavior</w:t>
      </w:r>
    </w:p>
    <w:p>
      <w:pPr/>
      <w:r>
        <w:t>The dropdown reuses the existing hero-area control row (next to '.periodswitch' and '.searchbox') and collapses to a full-width &lt;select&gt; element on narrow viewports, consistent with the existing '.herotools' flex-wrap behavior at the 640px breakpoint already defined in globals.css.</w:t>
      </w:r>
    </w:p>
    <w:p>
      <w:pPr>
        <w:pStyle w:val="Heading3"/>
      </w:pPr>
      <w:r>
        <w:t>State persistence</w:t>
      </w:r>
    </w:p>
    <w:p>
      <w:pPr/>
      <w:r>
        <w:t>Pillar selection resets to 'All' on tab change (does not persist across subsidiaries) but is preserved while interacting within one subsidiary tab (switching period, opening alerts, etc. does not reset it).</w:t>
      </w:r>
    </w:p>
    <w:p>
      <w:pPr>
        <w:pStyle w:val="Heading3"/>
      </w:pPr>
      <w:r>
        <w:t>Files/components likely to change</w:t>
      </w:r>
    </w:p>
    <w:p>
      <w:pPr>
        <w:pStyle w:val="ListParagraph"/>
      </w:pPr>
      <w:r>
        <w:t>src/components/DashboardShell.tsx — new state + dropdown control + filter logic</w:t>
      </w:r>
    </w:p>
    <w:p>
      <w:pPr>
        <w:pStyle w:val="ListParagraph"/>
      </w:pPr>
      <w:r>
        <w:t>src/components/PillarSection.tsx — unchanged; still renders one pillar</w:t>
      </w:r>
    </w:p>
    <w:p>
      <w:pPr>
        <w:pStyle w:val="ListParagraph"/>
      </w:pPr>
      <w:r>
        <w:t>src/app/globals.css — new .servicedropdown or reuse of .periodswitch-style classes</w:t>
      </w:r>
    </w:p>
    <w:p>
      <w:pPr>
        <w:pStyle w:val="Heading3"/>
      </w:pPr>
      <w:r>
        <w:t>Acceptance criteria</w:t>
      </w:r>
    </w:p>
    <w:p>
      <w:pPr>
        <w:pStyle w:val="ListParagraph"/>
      </w:pPr>
      <w:r>
        <w:t>Dropdown appears only on Rukisha / CPF FS / CPF C&amp;A tabs, not on Group View or About.</w:t>
      </w:r>
    </w:p>
    <w:p>
      <w:pPr>
        <w:pStyle w:val="ListParagraph"/>
      </w:pPr>
      <w:r>
        <w:t>Selecting a pillar shows only that pillar's KPI tiles + chart; 'All' restores the stacked view.</w:t>
      </w:r>
    </w:p>
    <w:p>
      <w:pPr>
        <w:pStyle w:val="ListParagraph"/>
      </w:pPr>
      <w:r>
        <w:t>Switching subsidiary tabs resets the dropdown to 'All'.</w:t>
      </w:r>
    </w:p>
    <w:p>
      <w:pPr>
        <w:pStyle w:val="ListParagraph"/>
      </w:pPr>
      <w:r>
        <w:t>No horizontal overflow introduced at 375px/390px viewports.</w:t>
      </w:r>
    </w:p>
    <w:p>
      <w:pPr>
        <w:pStyle w:val="Heading2"/>
      </w:pPr>
      <w:r>
        <w:t>9.2 Enhancement 2 — Subsidiary Page Routing</w:t>
      </w:r>
    </w:p>
    <w:p>
      <w:pPr>
        <w:pStyle w:val="Heading3"/>
      </w:pPr>
      <w:r>
        <w:t>Current state</w:t>
      </w:r>
    </w:p>
    <w:p>
      <w:pPr/>
      <w:r>
        <w:t>src/app/ contains only layout.tsx and page.tsx (App Router, single route '/'). page.tsx is a Server Component (async Home()) that awaits all four orchestration calls in parallel and passes their results into DashboardShell as props. DashboardShell is a Client Component holding the active-tab state; there is no App Router navigation today — tab switching is pure client-side state, no URL change, no next/navigation usage anywhere in the codebase.</w:t>
      </w:r>
    </w:p>
    <w:p>
      <w:pPr>
        <w:pStyle w:val="Heading3"/>
      </w:pPr>
      <w:r>
        <w:t>Requirement</w:t>
      </w:r>
    </w:p>
    <w:p>
      <w:pPr/>
      <w:r>
        <w:t>Convert the top navigation (Rukisha / CPF Financial Services / CPF Capital &amp; Advisory / Group View / About) into dedicated Next.js routes.</w:t>
      </w:r>
    </w:p>
    <w:p>
      <w:pPr>
        <w:pStyle w:val="Heading3"/>
      </w:pPr>
      <w:r>
        <w:t>Proposed route structure</w:t>
      </w:r>
    </w:p>
    <w:tbl>
      <w:tblPr>
        <w:tblW w:type="auto" w:w="0"/>
        <w:tblLook w:firstColumn="1" w:firstRow="1" w:lastColumn="0" w:lastRow="0" w:noHBand="0" w:noVBand="1" w:val="04A0"/>
      </w:tblPr>
      <w:tblGrid>
        <w:gridCol w:w="5233"/>
        <w:gridCol w:w="5233"/>
      </w:tblGrid>
      <w:tr>
        <w:tc>
          <w:tcPr>
            <w:tcW w:type="dxa" w:w="5233"/>
          </w:tcPr>
          <w:p>
            <w:r>
              <w:t>Route</w:t>
            </w:r>
          </w:p>
        </w:tc>
        <w:tc>
          <w:tcPr>
            <w:tcW w:type="dxa" w:w="5233"/>
          </w:tcPr>
          <w:p>
            <w:r>
              <w:t>Responsibility</w:t>
            </w:r>
          </w:p>
        </w:tc>
      </w:tr>
      <w:tr>
        <w:tc>
          <w:tcPr>
            <w:tcW w:type="dxa" w:w="5233"/>
          </w:tcPr>
          <w:p>
            <w:r>
              <w:t>/rukisha</w:t>
            </w:r>
          </w:p>
        </w:tc>
        <w:tc>
          <w:tcPr>
            <w:tcW w:type="dxa" w:w="5233"/>
          </w:tcPr>
          <w:p>
            <w:r>
              <w:t>Server Component — calls getRukishaView(), renders subsidiary layout</w:t>
            </w:r>
          </w:p>
        </w:tc>
      </w:tr>
      <w:tr>
        <w:tc>
          <w:tcPr>
            <w:tcW w:type="dxa" w:w="5233"/>
          </w:tcPr>
          <w:p>
            <w:r>
              <w:t>/cpf-financial-services</w:t>
            </w:r>
          </w:p>
        </w:tc>
        <w:tc>
          <w:tcPr>
            <w:tcW w:type="dxa" w:w="5233"/>
          </w:tcPr>
          <w:p>
            <w:r>
              <w:t>Server Component — calls getCpfFinancialServicesView()</w:t>
            </w:r>
          </w:p>
        </w:tc>
      </w:tr>
      <w:tr>
        <w:tc>
          <w:tcPr>
            <w:tcW w:type="dxa" w:w="5233"/>
          </w:tcPr>
          <w:p>
            <w:r>
              <w:t>/cpf-capital-advisory</w:t>
            </w:r>
          </w:p>
        </w:tc>
        <w:tc>
          <w:tcPr>
            <w:tcW w:type="dxa" w:w="5233"/>
          </w:tcPr>
          <w:p>
            <w:r>
              <w:t>Server Component — calls getCpfCapitalAdvisoryView()</w:t>
            </w:r>
          </w:p>
        </w:tc>
      </w:tr>
      <w:tr>
        <w:tc>
          <w:tcPr>
            <w:tcW w:type="dxa" w:w="5233"/>
          </w:tcPr>
          <w:p>
            <w:r>
              <w:t>/group</w:t>
            </w:r>
          </w:p>
        </w:tc>
        <w:tc>
          <w:tcPr>
            <w:tcW w:type="dxa" w:w="5233"/>
          </w:tcPr>
          <w:p>
            <w:r>
              <w:t>Server Component — calls getGroupView() with the three totals</w:t>
            </w:r>
          </w:p>
        </w:tc>
      </w:tr>
      <w:tr>
        <w:tc>
          <w:tcPr>
            <w:tcW w:type="dxa" w:w="5233"/>
          </w:tcPr>
          <w:p>
            <w:r>
              <w:t>/about</w:t>
            </w:r>
          </w:p>
        </w:tc>
        <w:tc>
          <w:tcPr>
            <w:tcW w:type="dxa" w:w="5233"/>
          </w:tcPr>
          <w:p>
            <w:r>
              <w:t>Static/server content — no data fetch</w:t>
            </w:r>
          </w:p>
        </w:tc>
      </w:tr>
      <w:tr>
        <w:tc>
          <w:tcPr>
            <w:tcW w:type="dxa" w:w="5233"/>
          </w:tcPr>
          <w:p>
            <w:r>
              <w:t>/</w:t>
            </w:r>
          </w:p>
        </w:tc>
        <w:tc>
          <w:tcPr>
            <w:tcW w:type="dxa" w:w="5233"/>
          </w:tcPr>
          <w:p>
            <w:r>
              <w:t>Redirects to /rukisha (preserves 'first tab is Rukisha' default)</w:t>
            </w:r>
          </w:p>
        </w:tc>
      </w:tr>
    </w:tbl>
    <w:p>
      <w:pPr/>
      <w:r>
        <w:t>This requires a shared layout: src/app/layout.tsx currently renders only &lt;html&gt;&lt;body&gt;{children}&lt;/body&gt;&lt;/html&gt;. A new src/app/(dashboard)/layout.tsx route group would hold the header/nav/footer chrome currently baked into DashboardShell, with each route's page.tsx supplying only its content area. This mirrors Next.js App Router idiom: shared chrome in a layout, per-route data fetching in each page.</w:t>
      </w:r>
    </w:p>
    <w:p>
      <w:pPr>
        <w:pStyle w:val="Heading3"/>
      </w:pPr>
      <w:r>
        <w:t>State movement between routes</w:t>
      </w:r>
    </w:p>
    <w:p>
      <w:pPr/>
      <w:r>
        <w:t>Each route's Server Component fetches only the data its view needs — Rukisha's route does not need to await getCpfFinancialServicesView(), unlike today's page.tsx which awaits all four unconditionally. This is a net performance improvement: every current page load waits on all three subsidiaries plus Group View, even though only one tab is shown initially. Group View's totals still require the three subsidiaries' totals (per src/lib/orchestration/group.ts's signature), so /group's Server Component would await all three — unavoidable, and already true in the current non-routed version.</w:t>
      </w:r>
    </w:p>
    <w:p>
      <w:pPr>
        <w:pStyle w:val="Heading3"/>
      </w:pPr>
      <w:r>
        <w:t>Service Dropdown interaction (depends on 9.1)</w:t>
      </w:r>
    </w:p>
    <w:p>
      <w:pPr/>
      <w:r>
        <w:t>If a user is on /rukisha and selects a pillar via the Enhancement-1 dropdown, the simplest in-scope approach is a URL search param: /rukisha?pillar=lending. This makes pillar selection shareable/bookmarkable and survives a refresh, without adding a new state-management dependency. Falls back to 'all pillars' when the param is absent or invalid.</w:t>
      </w:r>
    </w:p>
    <w:p>
      <w:pPr>
        <w:pStyle w:val="Heading3"/>
      </w:pPr>
      <w:r>
        <w:t>Direct URL navigation and back/forward</w:t>
      </w:r>
    </w:p>
    <w:p>
      <w:pPr/>
      <w:r>
        <w:t>Standard Next.js App Router behavior once converted: visiting /cpf-capital-advisory directly renders that view server-side; browser back/forward works natively via the History API, which today's client-state tab switching does not support at all (refreshing the page always returns to the Rukisha tab, and back/forward do nothing).</w:t>
      </w:r>
    </w:p>
    <w:p>
      <w:pPr>
        <w:pStyle w:val="Heading3"/>
      </w:pPr>
      <w:r>
        <w:t>Active navigation state</w:t>
      </w:r>
    </w:p>
    <w:p>
      <w:pPr/>
      <w:r>
        <w:t>usePathname() (next/navigation) replaces the current tab === id comparison in DashboardShell's navBtnClass helper — the active link becomes a function of the URL, not of local state.</w:t>
      </w:r>
    </w:p>
    <w:p>
      <w:pPr>
        <w:pStyle w:val="Heading3"/>
      </w:pPr>
      <w:r>
        <w:t>Existing tab-state architecture — retain or remove</w:t>
      </w:r>
    </w:p>
    <w:p>
      <w:pPr/>
      <w:r>
        <w:t>Remove: the TabId union type and the tab useState become unnecessary once routes exist. Retain: navOpen (mobile hamburger open/closed), alertsOpen, and period remain local UI state — they are not navigation state and have no natural URL representation worth adding complexity for.</w:t>
      </w:r>
    </w:p>
    <w:p>
      <w:pPr>
        <w:pStyle w:val="Heading3"/>
      </w:pPr>
      <w:r>
        <w:t>Testing implications</w:t>
      </w:r>
    </w:p>
    <w:p>
      <w:pPr/>
      <w:r>
        <w:t>tests/phase5-acceptance.spec.ts's clickNav() helper currently clicks a nav button and asserts DOM text changes; it would need to additionally assert page.url() matches the expected route, and new tests would be needed for direct URL navigation + back/forward. This is a Phase 6 testing-scope item, not implemented now (see §9.9).</w:t>
      </w:r>
    </w:p>
    <w:p>
      <w:pPr>
        <w:pStyle w:val="Heading3"/>
      </w:pPr>
      <w:r>
        <w:t>Risk</w:t>
      </w:r>
    </w:p>
    <w:p>
      <w:pPr/>
      <w:r>
        <w:t>This is the highest-risk enhancement in this set: it changes the fetch waterfall, the component tree's top-level structure (new layout.tsx + route group), and is a prerequisite for making the Service Dropdown's URL persistence (9.1) meaningful. Recommended to implement first, before any other enhancement, so later work targets the final route structure instead of being retrofitted onto it.</w:t>
      </w:r>
    </w:p>
    <w:p>
      <w:pPr>
        <w:pStyle w:val="Heading2"/>
      </w:pPr>
      <w:r>
        <w:t>9.3 Enhancement 3 — Functional Action Buttons</w:t>
      </w:r>
    </w:p>
    <w:p>
      <w:pPr>
        <w:pStyle w:val="Heading3"/>
      </w:pPr>
      <w:r>
        <w:t>9.3.a Notifications — ALREADY IMPLEMENTED, no further work required</w:t>
      </w:r>
    </w:p>
    <w:p>
      <w:pPr/>
      <w:r>
        <w:t>Inspected src/components/DashboardShell.tsx (current main, post alerts fix merge, commit 62d7b7f). The required behavior already exists in full:</w:t>
      </w:r>
    </w:p>
    <w:p>
      <w:pPr>
        <w:pStyle w:val="ListParagraph"/>
      </w:pPr>
      <w:r>
        <w:t>Bell button (.bellbtn) toggles alertsOpen state — opens the notification popover.</w:t>
      </w:r>
    </w:p>
    <w:p>
      <w:pPr>
        <w:pStyle w:val="ListParagraph"/>
      </w:pPr>
      <w:r>
        <w:t>Panel (.alertspanel) renders 3 ALERTS entries with color dot, text, and timestamp.</w:t>
      </w:r>
    </w:p>
    <w:p>
      <w:pPr>
        <w:pStyle w:val="ListParagraph"/>
      </w:pPr>
      <w:r>
        <w:t>Clicking inside the panel keeps it open: bell + panel are both children of a single '.alertswrap' wrapper div with a ref (alertsRef); the document-level mousedown listener only closes the panel when the click target is outside that wrapper (DashboardShell.tsx lines ~58-69, ~132-152).</w:t>
      </w:r>
    </w:p>
    <w:p>
      <w:pPr>
        <w:pStyle w:val="ListParagraph"/>
      </w:pPr>
      <w:r>
        <w:t>Clicking anywhere outside '.alertswrap' closes the panel (same listener).</w:t>
      </w:r>
    </w:p>
    <w:p>
      <w:pPr/>
      <w:r>
        <w:t>This item requires no new development. Documenting it here per the explicit instruction not to rebuild functionality that already works. Keyboard/ accessibility behavior (Escape to close, focus trap) is NOT currently implemented and would be a small, isolated addition if desired — listed as an optional follow-up, not a blocking requirement, since neither the Phase 5 docs nor the Phase 1 scope note require it.</w:t>
      </w:r>
    </w:p>
    <w:p>
      <w:pPr>
        <w:pStyle w:val="Heading3"/>
      </w:pPr>
      <w:r>
        <w:t>9.3.b Search — requirement analysis</w:t>
      </w:r>
    </w:p>
    <w:p>
      <w:pPr/>
      <w:r>
        <w:t>Current state: '.searchbox' in DashboardShell's hero area is a static div with a magnifying-glass icon and placeholder text 'Search transactions, deals, members…' — no input element, no state, no behavior.</w:t>
      </w:r>
    </w:p>
    <w:p>
      <w:pPr/>
      <w:r>
        <w:t>What can genuinely be searched, given the current data/orchestration layer:</w:t>
      </w:r>
    </w:p>
    <w:p>
      <w:pPr>
        <w:pStyle w:val="ListParagraph"/>
      </w:pPr>
      <w:r>
        <w:t>KPI labels within the active subsidiary's pillars (client-side, already in the SubsidiaryView the page holds — no new data fetch).</w:t>
      </w:r>
    </w:p>
    <w:p>
      <w:pPr>
        <w:pStyle w:val="ListParagraph"/>
      </w:pPr>
      <w:r>
        <w:t>Subsidiary/section names (Rukisha, CPF Financial Services, CPF Capital &amp; Advisory, Group View, About) — acts as a quick-nav shortcut.</w:t>
      </w:r>
    </w:p>
    <w:p>
      <w:pPr/>
      <w:r>
        <w:t>What CANNOT be genuinely searched without new data-layer work: 'transactions, deals, members' (the current placeholder text) implies searching individual transaction/loan/member rows, but the Orchestration layer never exposes individual rows to the UI — only aggregated KPI values (SubsidiaryView / GroupView). Searching raw rows would require a new query layer (src/lib/data/*-queries.ts already has the typed row fetchers, but no Orchestration function currently returns a searchable row list, and no UI component is designed to render one). This is a real architectural gap, not an oversight.</w:t>
      </w:r>
    </w:p>
    <w:p>
      <w:pPr/>
      <w:r>
        <w:t>Recommended scope-safe implementation:</w:t>
      </w:r>
    </w:p>
    <w:p>
      <w:pPr>
        <w:pStyle w:val="ListParagraph"/>
      </w:pPr>
      <w:r>
        <w:t>Search matches against KPI labels + subsidiary/section names only — a client-side filter, no new data fetch, no backend change.</w:t>
      </w:r>
    </w:p>
    <w:p>
      <w:pPr>
        <w:pStyle w:val="ListParagraph"/>
      </w:pPr>
      <w:r>
        <w:t>Scope: current view only (not global across all subsidiaries at once), to keep it simple.</w:t>
      </w:r>
    </w:p>
    <w:p>
      <w:pPr>
        <w:pStyle w:val="ListParagraph"/>
      </w:pPr>
      <w:r>
        <w:t>Debounce: not needed for a client-side array filter over ~12-14 KPI labels.</w:t>
      </w:r>
    </w:p>
    <w:p>
      <w:pPr>
        <w:pStyle w:val="ListParagraph"/>
      </w:pPr>
      <w:r>
        <w:t>Empty/no-results state: 'No matches' message under the search box.</w:t>
      </w:r>
    </w:p>
    <w:p>
      <w:pPr>
        <w:pStyle w:val="ListParagraph"/>
      </w:pPr>
      <w:r>
        <w:t>Result selection: clicking a matched KPI label scrolls to/highlights its tile; clicking a matched subsidiary name navigates to it (ties into 9.2's routes if implemented first).</w:t>
      </w:r>
    </w:p>
    <w:p>
      <w:pPr/>
      <w:r>
        <w:t>Searching real transaction/loan/member rows is explicitly NOT recommended for this phase — it would require a new Orchestration function, a new UI result-list component, and decisions about which fields are searchable per table, none of which is justified by the current product (a KPI dashboard, not a transaction browser). If this is wanted later, it is new analysis work, not an extension of the existing search stub.</w:t>
      </w:r>
    </w:p>
    <w:p>
      <w:pPr>
        <w:pStyle w:val="Heading3"/>
      </w:pPr>
      <w:r>
        <w:t>9.3.c Export Report — requirement analysis</w:t>
      </w:r>
    </w:p>
    <w:p>
      <w:pPr/>
      <w:r>
        <w:t>Current state: '.btnsolid' "Export Report" is a static &lt;span&gt;, no click handler.</w:t>
      </w:r>
    </w:p>
    <w:p>
      <w:pPr/>
      <w:r>
        <w:t>What the current architecture supports cleanly:</w:t>
      </w:r>
    </w:p>
    <w:p>
      <w:pPr>
        <w:pStyle w:val="ListParagraph"/>
      </w:pPr>
      <w:r>
        <w:t>Exporting the CURRENTLY ACTIVE view's KPI data as CSV — every KPI tile's label + value + delta is already plain data in the SubsidiaryView/GroupView the page holds; a CSV export is a client-side string-join over that existing object, no new fetch needed.</w:t>
      </w:r>
    </w:p>
    <w:p>
      <w:pPr>
        <w:pStyle w:val="ListParagraph"/>
      </w:pPr>
      <w:r>
        <w:t>PDF export would require a new client-side rendering/printing dependency (e.g. browser print-to-PDF via window.print() with a print stylesheet, or a library like jsPDF) — recommended only if CSV is judged insufficient, since it adds a new dependency the project does not currently have.</w:t>
      </w:r>
    </w:p>
    <w:p>
      <w:pPr/>
      <w:r>
        <w:t>Recommended scope-safe implementation:</w:t>
      </w:r>
    </w:p>
    <w:p>
      <w:pPr>
        <w:pStyle w:val="ListParagraph"/>
      </w:pPr>
      <w:r>
        <w:t>Format: CSV (zero new dependencies — a Blob + &lt;a download&gt; is sufficient).</w:t>
      </w:r>
    </w:p>
    <w:p>
      <w:pPr>
        <w:pStyle w:val="ListParagraph"/>
      </w:pPr>
      <w:r>
        <w:t>Exports the active subsidiary/Group view's KPI tiles: label, value, delta.</w:t>
      </w:r>
    </w:p>
    <w:p>
      <w:pPr>
        <w:pStyle w:val="ListParagraph"/>
      </w:pPr>
      <w:r>
        <w:t>Respects the active pillar filter (9.1) if one is selected — exports only the visible KPIs.</w:t>
      </w:r>
    </w:p>
    <w:p>
      <w:pPr>
        <w:pStyle w:val="ListParagraph"/>
      </w:pPr>
      <w:r>
        <w:t>Filename convention: cpf-&lt;subsidiary-slug&gt;-&lt;YYYY-MM-DD&gt;.csv, e.g. cpf-rukisha-2026-10-08.csv, built from the existing refresh-meta.ts date logic.</w:t>
      </w:r>
    </w:p>
    <w:p>
      <w:pPr>
        <w:pStyle w:val="ListParagraph"/>
      </w:pPr>
      <w:r>
        <w:t>Empty data: if a pillar somehow has zero KPIs, the button is disabled rather than downloading an empty file.</w:t>
      </w:r>
    </w:p>
    <w:p>
      <w:pPr>
        <w:pStyle w:val="ListParagraph"/>
      </w:pPr>
      <w:r>
        <w:t>Browser download: native &lt;a href="blob:..." download&gt; — no server round-trip, works within Vercel's static/edge hosting without a new API route.</w:t>
      </w:r>
    </w:p>
    <w:p>
      <w:pPr>
        <w:pStyle w:val="Heading3"/>
      </w:pPr>
      <w:r>
        <w:t>9.3.d Filters — requirement analysis</w:t>
      </w:r>
    </w:p>
    <w:p>
      <w:pPr/>
      <w:r>
        <w:t>Current state: no filter UI exists anywhere in the current main branch (confirmed by inspecting DashboardShell.tsx and globals.css for any '.filter' class — none found).</w:t>
      </w:r>
    </w:p>
    <w:p>
      <w:pPr/>
      <w:r>
        <w:t>What dimensions genuinely exist to filter by, per the actual data model:</w:t>
      </w:r>
    </w:p>
    <w:p>
      <w:pPr>
        <w:pStyle w:val="ListParagraph"/>
      </w:pPr>
      <w:r>
        <w:t>Subsidiary (already the primary navigation — filtering further by subsidiary is redundant with the nav itself).</w:t>
      </w:r>
    </w:p>
    <w:p>
      <w:pPr>
        <w:pStyle w:val="ListParagraph"/>
      </w:pPr>
      <w:r>
        <w:t>Pillar (already covered by Enhancement 1's Service Dropdown — a second filter for the same dimension is redundant.)</w:t>
      </w:r>
    </w:p>
    <w:p>
      <w:pPr>
        <w:pStyle w:val="ListParagraph"/>
      </w:pPr>
      <w:r>
        <w:t>Period (MoM/QoQ/YTD) — already has a selector (.periodswitch), but per §9.7 below, it currently only changes display labels, not the underlying dataset. Making period selection actually filter/recompute the data is covered under Enhancement 5 (Dynamic Trend Indicators) and Enhancement 7 (Dynamic Graphs), not as a separate 'filter' control.</w:t>
      </w:r>
    </w:p>
    <w:p>
      <w:pPr/>
      <w:r>
        <w:t>Conclusion: there is no additional filterable dimension in the current data model beyond what the Service Dropdown (9.1) and Period Switch (9.7) already cover. Per the explicit instruction not to create filters for dimensions that do not exist, no new standalone ‘Filters’ control is recommended. If a distinct filter requirement emerges later (e.g. filter loans by product: personal/business/asset_finance — which IS a real field on loan_account), it should be scoped as its own follow-up once there is a concrete UI need for it, not manufactured here to satisfy a checklist item.</w:t>
      </w:r>
    </w:p>
    <w:p>
      <w:pPr>
        <w:pStyle w:val="Heading2"/>
      </w:pPr>
      <w:r>
        <w:t>9.4 Enhancement 4 — Contextual KPI Icons</w:t>
      </w:r>
    </w:p>
    <w:p>
      <w:pPr>
        <w:pStyle w:val="Heading3"/>
      </w:pPr>
      <w:r>
        <w:t>Current state</w:t>
      </w:r>
    </w:p>
    <w:p>
      <w:pPr/>
      <w:r>
        <w:t>src/components/icons.tsx defines generic icons (TrendIcon, InfoIcon, BellIcon, etc.) with no per-KPI theming. KpiTile.tsx renders the same &lt;TrendIcon /&gt; inside '.iconbadge' for every single KPI tile across all four subsidiary/group views (confirmed at KpiTile.tsx line ~36).</w:t>
      </w:r>
    </w:p>
    <w:p>
      <w:pPr/>
      <w:r>
        <w:t>The current icon set is minimal, hand-authored inline SVG (no icon library dependency) — consistent with the project's zero-extra-dependency pattern (KISS/YAGNI, Phase 3 SDD §4). New icons should follow the same pattern: hand-authored inline SVG in icons.tsx, not a new npm dependency, to avoid introducing a new third-party icon library purely for cosmetic KPI icons.</w:t>
      </w:r>
    </w:p>
    <w:p>
      <w:pPr>
        <w:pStyle w:val="Heading3"/>
      </w:pPr>
      <w:r>
        <w:t>Complete KPI → icon mapping (all 38 KPIs)</w:t>
      </w:r>
    </w:p>
    <w:tbl>
      <w:tblPr>
        <w:tblW w:type="auto" w:w="0"/>
        <w:tblLook w:firstColumn="1" w:firstRow="1" w:lastColumn="0" w:lastRow="0" w:noHBand="0" w:noVBand="1" w:val="04A0"/>
      </w:tblPr>
      <w:tblGrid>
        <w:gridCol w:w="5233"/>
        <w:gridCol w:w="5233"/>
      </w:tblGrid>
      <w:tr>
        <w:tc>
          <w:tcPr>
            <w:tcW w:type="dxa" w:w="5233"/>
          </w:tcPr>
          <w:p>
            <w:r>
              <w:t>KPI label</w:t>
            </w:r>
          </w:p>
        </w:tc>
        <w:tc>
          <w:tcPr>
            <w:tcW w:type="dxa" w:w="5233"/>
          </w:tcPr>
          <w:p>
            <w:r>
              <w:t>Icon theme</w:t>
            </w:r>
          </w:p>
        </w:tc>
      </w:tr>
      <w:tr>
        <w:tc>
          <w:tcPr>
            <w:tcW w:type="dxa" w:w="5233"/>
          </w:tcPr>
          <w:p>
            <w:r>
              <w:t>Portfolio Value</w:t>
            </w:r>
          </w:p>
        </w:tc>
        <w:tc>
          <w:tcPr>
            <w:tcW w:type="dxa" w:w="5233"/>
          </w:tcPr>
          <w:p>
            <w:r>
              <w:t>Banknotes/coins</w:t>
            </w:r>
          </w:p>
        </w:tc>
      </w:tr>
      <w:tr>
        <w:tc>
          <w:tcPr>
            <w:tcW w:type="dxa" w:w="5233"/>
          </w:tcPr>
          <w:p>
            <w:r>
              <w:t>Active Borrowers</w:t>
            </w:r>
          </w:p>
        </w:tc>
        <w:tc>
          <w:tcPr>
            <w:tcW w:type="dxa" w:w="5233"/>
          </w:tcPr>
          <w:p>
            <w:r>
              <w:t>Users</w:t>
            </w:r>
          </w:p>
        </w:tc>
      </w:tr>
      <w:tr>
        <w:tc>
          <w:tcPr>
            <w:tcW w:type="dxa" w:w="5233"/>
          </w:tcPr>
          <w:p>
            <w:r>
              <w:t>Repayment Rate</w:t>
            </w:r>
          </w:p>
        </w:tc>
        <w:tc>
          <w:tcPr>
            <w:tcW w:type="dxa" w:w="5233"/>
          </w:tcPr>
          <w:p>
            <w:r>
              <w:t>Check-circle</w:t>
            </w:r>
          </w:p>
        </w:tc>
      </w:tr>
      <w:tr>
        <w:tc>
          <w:tcPr>
            <w:tcW w:type="dxa" w:w="5233"/>
          </w:tcPr>
          <w:p>
            <w:r>
              <w:t>Default Rate (Blended)</w:t>
            </w:r>
          </w:p>
        </w:tc>
        <w:tc>
          <w:tcPr>
            <w:tcW w:type="dxa" w:w="5233"/>
          </w:tcPr>
          <w:p>
            <w:r>
              <w:t>Alert-triangle</w:t>
            </w:r>
          </w:p>
        </w:tc>
      </w:tr>
      <w:tr>
        <w:tc>
          <w:tcPr>
            <w:tcW w:type="dxa" w:w="5233"/>
          </w:tcPr>
          <w:p>
            <w:r>
              <w:t>Transaction Volume</w:t>
            </w:r>
          </w:p>
        </w:tc>
        <w:tc>
          <w:tcPr>
            <w:tcW w:type="dxa" w:w="5233"/>
          </w:tcPr>
          <w:p>
            <w:r>
              <w:t>Swap/arrows</w:t>
            </w:r>
          </w:p>
        </w:tc>
      </w:tr>
      <w:tr>
        <w:tc>
          <w:tcPr>
            <w:tcW w:type="dxa" w:w="5233"/>
          </w:tcPr>
          <w:p>
            <w:r>
              <w:t>Transaction Value</w:t>
            </w:r>
          </w:p>
        </w:tc>
        <w:tc>
          <w:tcPr>
            <w:tcW w:type="dxa" w:w="5233"/>
          </w:tcPr>
          <w:p>
            <w:r>
              <w:t>Banknotes/coins</w:t>
            </w:r>
          </w:p>
        </w:tc>
      </w:tr>
      <w:tr>
        <w:tc>
          <w:tcPr>
            <w:tcW w:type="dxa" w:w="5233"/>
          </w:tcPr>
          <w:p>
            <w:r>
              <w:t>Active Wallets</w:t>
            </w:r>
          </w:p>
        </w:tc>
        <w:tc>
          <w:tcPr>
            <w:tcW w:type="dxa" w:w="5233"/>
          </w:tcPr>
          <w:p>
            <w:r>
              <w:t>Wallet</w:t>
            </w:r>
          </w:p>
        </w:tc>
      </w:tr>
      <w:tr>
        <w:tc>
          <w:tcPr>
            <w:tcW w:type="dxa" w:w="5233"/>
          </w:tcPr>
          <w:p>
            <w:r>
              <w:t>Avg. Transaction Size</w:t>
            </w:r>
          </w:p>
        </w:tc>
        <w:tc>
          <w:tcPr>
            <w:tcW w:type="dxa" w:w="5233"/>
          </w:tcPr>
          <w:p>
            <w:r>
              <w:t>Calculator</w:t>
            </w:r>
          </w:p>
        </w:tc>
      </w:tr>
      <w:tr>
        <w:tc>
          <w:tcPr>
            <w:tcW w:type="dxa" w:w="5233"/>
          </w:tcPr>
          <w:p>
            <w:r>
              <w:t>Goal-Based Savings</w:t>
            </w:r>
          </w:p>
        </w:tc>
        <w:tc>
          <w:tcPr>
            <w:tcW w:type="dxa" w:w="5233"/>
          </w:tcPr>
          <w:p>
            <w:r>
              <w:t>Target/flag</w:t>
            </w:r>
          </w:p>
        </w:tc>
      </w:tr>
      <w:tr>
        <w:tc>
          <w:tcPr>
            <w:tcW w:type="dxa" w:w="5233"/>
          </w:tcPr>
          <w:p>
            <w:r>
              <w:t>Pension-Linked Savings</w:t>
            </w:r>
          </w:p>
        </w:tc>
        <w:tc>
          <w:tcPr>
            <w:tcW w:type="dxa" w:w="5233"/>
          </w:tcPr>
          <w:p>
            <w:r>
              <w:t>Shield</w:t>
            </w:r>
          </w:p>
        </w:tc>
      </w:tr>
      <w:tr>
        <w:tc>
          <w:tcPr>
            <w:tcW w:type="dxa" w:w="5233"/>
          </w:tcPr>
          <w:p>
            <w:r>
              <w:t>Active Savers</w:t>
            </w:r>
          </w:p>
        </w:tc>
        <w:tc>
          <w:tcPr>
            <w:tcW w:type="dxa" w:w="5233"/>
          </w:tcPr>
          <w:p>
            <w:r>
              <w:t>Users</w:t>
            </w:r>
          </w:p>
        </w:tc>
      </w:tr>
      <w:tr>
        <w:tc>
          <w:tcPr>
            <w:tcW w:type="dxa" w:w="5233"/>
          </w:tcPr>
          <w:p>
            <w:r>
              <w:t>Savings-to-Loan Ratio</w:t>
            </w:r>
          </w:p>
        </w:tc>
        <w:tc>
          <w:tcPr>
            <w:tcW w:type="dxa" w:w="5233"/>
          </w:tcPr>
          <w:p>
            <w:r>
              <w:t>Scale/balance</w:t>
            </w:r>
          </w:p>
        </w:tc>
      </w:tr>
      <w:tr>
        <w:tc>
          <w:tcPr>
            <w:tcW w:type="dxa" w:w="5233"/>
          </w:tcPr>
          <w:p>
            <w:r>
              <w:t>Member Contributions (period)</w:t>
            </w:r>
          </w:p>
        </w:tc>
        <w:tc>
          <w:tcPr>
            <w:tcW w:type="dxa" w:w="5233"/>
          </w:tcPr>
          <w:p>
            <w:r>
              <w:t>Banknotes/coins</w:t>
            </w:r>
          </w:p>
        </w:tc>
      </w:tr>
      <w:tr>
        <w:tc>
          <w:tcPr>
            <w:tcW w:type="dxa" w:w="5233"/>
          </w:tcPr>
          <w:p>
            <w:r>
              <w:t>Fund Balance</w:t>
            </w:r>
          </w:p>
        </w:tc>
        <w:tc>
          <w:tcPr>
            <w:tcW w:type="dxa" w:w="5233"/>
          </w:tcPr>
          <w:p>
            <w:r>
              <w:t>Vault/bank</w:t>
            </w:r>
          </w:p>
        </w:tc>
      </w:tr>
      <w:tr>
        <w:tc>
          <w:tcPr>
            <w:tcW w:type="dxa" w:w="5233"/>
          </w:tcPr>
          <w:p>
            <w:r>
              <w:t>Active Schemes</w:t>
            </w:r>
          </w:p>
        </w:tc>
        <w:tc>
          <w:tcPr>
            <w:tcW w:type="dxa" w:w="5233"/>
          </w:tcPr>
          <w:p>
            <w:r>
              <w:t>Clipboard-list</w:t>
            </w:r>
          </w:p>
        </w:tc>
      </w:tr>
      <w:tr>
        <w:tc>
          <w:tcPr>
            <w:tcW w:type="dxa" w:w="5233"/>
          </w:tcPr>
          <w:p>
            <w:r>
              <w:t>Assets Under Administration</w:t>
            </w:r>
          </w:p>
        </w:tc>
        <w:tc>
          <w:tcPr>
            <w:tcW w:type="dxa" w:w="5233"/>
          </w:tcPr>
          <w:p>
            <w:r>
              <w:t>Building/trust</w:t>
            </w:r>
          </w:p>
        </w:tc>
      </w:tr>
      <w:tr>
        <w:tc>
          <w:tcPr>
            <w:tcW w:type="dxa" w:w="5233"/>
          </w:tcPr>
          <w:p>
            <w:r>
              <w:t>Number of Trusts</w:t>
            </w:r>
          </w:p>
        </w:tc>
        <w:tc>
          <w:tcPr>
            <w:tcW w:type="dxa" w:w="5233"/>
          </w:tcPr>
          <w:p>
            <w:r>
              <w:t>Building</w:t>
            </w:r>
          </w:p>
        </w:tc>
      </w:tr>
      <w:tr>
        <w:tc>
          <w:tcPr>
            <w:tcW w:type="dxa" w:w="5233"/>
          </w:tcPr>
          <w:p>
            <w:r>
              <w:t>Trust Beneficiaries</w:t>
            </w:r>
          </w:p>
        </w:tc>
        <w:tc>
          <w:tcPr>
            <w:tcW w:type="dxa" w:w="5233"/>
          </w:tcPr>
          <w:p>
            <w:r>
              <w:t>Users</w:t>
            </w:r>
          </w:p>
        </w:tc>
      </w:tr>
      <w:tr>
        <w:tc>
          <w:tcPr>
            <w:tcW w:type="dxa" w:w="5233"/>
          </w:tcPr>
          <w:p>
            <w:r>
              <w:t>Trust Fund Growth</w:t>
            </w:r>
          </w:p>
        </w:tc>
        <w:tc>
          <w:tcPr>
            <w:tcW w:type="dxa" w:w="5233"/>
          </w:tcPr>
          <w:p>
            <w:r>
              <w:t>Trending-up</w:t>
            </w:r>
          </w:p>
        </w:tc>
      </w:tr>
      <w:tr>
        <w:tc>
          <w:tcPr>
            <w:tcW w:type="dxa" w:w="5233"/>
          </w:tcPr>
          <w:p>
            <w:r>
              <w:t>Agency Transaction Value</w:t>
            </w:r>
          </w:p>
        </w:tc>
        <w:tc>
          <w:tcPr>
            <w:tcW w:type="dxa" w:w="5233"/>
          </w:tcPr>
          <w:p>
            <w:r>
              <w:t>Banknotes/coins</w:t>
            </w:r>
          </w:p>
        </w:tc>
      </w:tr>
      <w:tr>
        <w:tc>
          <w:tcPr>
            <w:tcW w:type="dxa" w:w="5233"/>
          </w:tcPr>
          <w:p>
            <w:r>
              <w:t>Agency Transaction Volume</w:t>
            </w:r>
          </w:p>
        </w:tc>
        <w:tc>
          <w:tcPr>
            <w:tcW w:type="dxa" w:w="5233"/>
          </w:tcPr>
          <w:p>
            <w:r>
              <w:t>Swap/arrows</w:t>
            </w:r>
          </w:p>
        </w:tc>
      </w:tr>
      <w:tr>
        <w:tc>
          <w:tcPr>
            <w:tcW w:type="dxa" w:w="5233"/>
          </w:tcPr>
          <w:p>
            <w:r>
              <w:t>Principals Served</w:t>
            </w:r>
          </w:p>
        </w:tc>
        <w:tc>
          <w:tcPr>
            <w:tcW w:type="dxa" w:w="5233"/>
          </w:tcPr>
          <w:p>
            <w:r>
              <w:t>Users</w:t>
            </w:r>
          </w:p>
        </w:tc>
      </w:tr>
      <w:tr>
        <w:tc>
          <w:tcPr>
            <w:tcW w:type="dxa" w:w="5233"/>
          </w:tcPr>
          <w:p>
            <w:r>
              <w:t>Agency Fee Income</w:t>
            </w:r>
          </w:p>
        </w:tc>
        <w:tc>
          <w:tcPr>
            <w:tcW w:type="dxa" w:w="5233"/>
          </w:tcPr>
          <w:p>
            <w:r>
              <w:t>Receipt</w:t>
            </w:r>
          </w:p>
        </w:tc>
      </w:tr>
      <w:tr>
        <w:tc>
          <w:tcPr>
            <w:tcW w:type="dxa" w:w="5233"/>
          </w:tcPr>
          <w:p>
            <w:r>
              <w:t>AUM in REIT Vehicles</w:t>
            </w:r>
          </w:p>
        </w:tc>
        <w:tc>
          <w:tcPr>
            <w:tcW w:type="dxa" w:w="5233"/>
          </w:tcPr>
          <w:p>
            <w:r>
              <w:t>Building/house</w:t>
            </w:r>
          </w:p>
        </w:tc>
      </w:tr>
      <w:tr>
        <w:tc>
          <w:tcPr>
            <w:tcW w:type="dxa" w:w="5233"/>
          </w:tcPr>
          <w:p>
            <w:r>
              <w:t>Unit Holders</w:t>
            </w:r>
          </w:p>
        </w:tc>
        <w:tc>
          <w:tcPr>
            <w:tcW w:type="dxa" w:w="5233"/>
          </w:tcPr>
          <w:p>
            <w:r>
              <w:t>Users</w:t>
            </w:r>
          </w:p>
        </w:tc>
      </w:tr>
      <w:tr>
        <w:tc>
          <w:tcPr>
            <w:tcW w:type="dxa" w:w="5233"/>
          </w:tcPr>
          <w:p>
            <w:r>
              <w:t>Unit NAV</w:t>
            </w:r>
          </w:p>
        </w:tc>
        <w:tc>
          <w:tcPr>
            <w:tcW w:type="dxa" w:w="5233"/>
          </w:tcPr>
          <w:p>
            <w:r>
              <w:t>Tag/price</w:t>
            </w:r>
          </w:p>
        </w:tc>
      </w:tr>
      <w:tr>
        <w:tc>
          <w:tcPr>
            <w:tcW w:type="dxa" w:w="5233"/>
          </w:tcPr>
          <w:p>
            <w:r>
              <w:t>Distribution Yield (Annualized)</w:t>
            </w:r>
          </w:p>
        </w:tc>
        <w:tc>
          <w:tcPr>
            <w:tcW w:type="dxa" w:w="5233"/>
          </w:tcPr>
          <w:p>
            <w:r>
              <w:t>Trending-up</w:t>
            </w:r>
          </w:p>
        </w:tc>
      </w:tr>
      <w:tr>
        <w:tc>
          <w:tcPr>
            <w:tcW w:type="dxa" w:w="5233"/>
          </w:tcPr>
          <w:p>
            <w:r>
              <w:t>Deal Count (YTD)</w:t>
            </w:r>
          </w:p>
        </w:tc>
        <w:tc>
          <w:tcPr>
            <w:tcW w:type="dxa" w:w="5233"/>
          </w:tcPr>
          <w:p>
            <w:r>
              <w:t>Handshake</w:t>
            </w:r>
          </w:p>
        </w:tc>
      </w:tr>
      <w:tr>
        <w:tc>
          <w:tcPr>
            <w:tcW w:type="dxa" w:w="5233"/>
          </w:tcPr>
          <w:p>
            <w:r>
              <w:t>Deal Value (YTD)</w:t>
            </w:r>
          </w:p>
        </w:tc>
        <w:tc>
          <w:tcPr>
            <w:tcW w:type="dxa" w:w="5233"/>
          </w:tcPr>
          <w:p>
            <w:r>
              <w:t>Banknotes/coins</w:t>
            </w:r>
          </w:p>
        </w:tc>
      </w:tr>
      <w:tr>
        <w:tc>
          <w:tcPr>
            <w:tcW w:type="dxa" w:w="5233"/>
          </w:tcPr>
          <w:p>
            <w:r>
              <w:t>Average Deal Size</w:t>
            </w:r>
          </w:p>
        </w:tc>
        <w:tc>
          <w:tcPr>
            <w:tcW w:type="dxa" w:w="5233"/>
          </w:tcPr>
          <w:p>
            <w:r>
              <w:t>Calculator</w:t>
            </w:r>
          </w:p>
        </w:tc>
      </w:tr>
      <w:tr>
        <w:tc>
          <w:tcPr>
            <w:tcW w:type="dxa" w:w="5233"/>
          </w:tcPr>
          <w:p>
            <w:r>
              <w:t>Advisory Fee Income</w:t>
            </w:r>
          </w:p>
        </w:tc>
        <w:tc>
          <w:tcPr>
            <w:tcW w:type="dxa" w:w="5233"/>
          </w:tcPr>
          <w:p>
            <w:r>
              <w:t>Receipt</w:t>
            </w:r>
          </w:p>
        </w:tc>
      </w:tr>
      <w:tr>
        <w:tc>
          <w:tcPr>
            <w:tcW w:type="dxa" w:w="5233"/>
          </w:tcPr>
          <w:p>
            <w:r>
              <w:t>Issuance Count (YTD)</w:t>
            </w:r>
          </w:p>
        </w:tc>
        <w:tc>
          <w:tcPr>
            <w:tcW w:type="dxa" w:w="5233"/>
          </w:tcPr>
          <w:p>
            <w:r>
              <w:t>Document/certificate</w:t>
            </w:r>
          </w:p>
        </w:tc>
      </w:tr>
      <w:tr>
        <w:tc>
          <w:tcPr>
            <w:tcW w:type="dxa" w:w="5233"/>
          </w:tcPr>
          <w:p>
            <w:r>
              <w:t>Issuance Value (YTD)</w:t>
            </w:r>
          </w:p>
        </w:tc>
        <w:tc>
          <w:tcPr>
            <w:tcW w:type="dxa" w:w="5233"/>
          </w:tcPr>
          <w:p>
            <w:r>
              <w:t>Banknotes/coins</w:t>
            </w:r>
          </w:p>
        </w:tc>
      </w:tr>
      <w:tr>
        <w:tc>
          <w:tcPr>
            <w:tcW w:type="dxa" w:w="5233"/>
          </w:tcPr>
          <w:p>
            <w:r>
              <w:t>Weighted Avg. Profit Rate</w:t>
            </w:r>
          </w:p>
        </w:tc>
        <w:tc>
          <w:tcPr>
            <w:tcW w:type="dxa" w:w="5233"/>
          </w:tcPr>
          <w:p>
            <w:r>
              <w:t>Percent</w:t>
            </w:r>
          </w:p>
        </w:tc>
      </w:tr>
      <w:tr>
        <w:tc>
          <w:tcPr>
            <w:tcW w:type="dxa" w:w="5233"/>
          </w:tcPr>
          <w:p>
            <w:r>
              <w:t>Subscription Rate</w:t>
            </w:r>
          </w:p>
        </w:tc>
        <w:tc>
          <w:tcPr>
            <w:tcW w:type="dxa" w:w="5233"/>
          </w:tcPr>
          <w:p>
            <w:r>
              <w:t>Clipboard-check</w:t>
            </w:r>
          </w:p>
        </w:tc>
      </w:tr>
      <w:tr>
        <w:tc>
          <w:tcPr>
            <w:tcW w:type="dxa" w:w="5233"/>
          </w:tcPr>
          <w:p>
            <w:r>
              <w:t>Total Group AUM/AUA</w:t>
            </w:r>
          </w:p>
        </w:tc>
        <w:tc>
          <w:tcPr>
            <w:tcW w:type="dxa" w:w="5233"/>
          </w:tcPr>
          <w:p>
            <w:r>
              <w:t>Globe/group</w:t>
            </w:r>
          </w:p>
        </w:tc>
      </w:tr>
      <w:tr>
        <w:tc>
          <w:tcPr>
            <w:tcW w:type="dxa" w:w="5233"/>
          </w:tcPr>
          <w:p>
            <w:r>
              <w:t>Total Active Clients</w:t>
            </w:r>
          </w:p>
        </w:tc>
        <w:tc>
          <w:tcPr>
            <w:tcW w:type="dxa" w:w="5233"/>
          </w:tcPr>
          <w:p>
            <w:r>
              <w:t>Users</w:t>
            </w:r>
          </w:p>
        </w:tc>
      </w:tr>
      <w:tr>
        <w:tc>
          <w:tcPr>
            <w:tcW w:type="dxa" w:w="5233"/>
          </w:tcPr>
          <w:p>
            <w:r>
              <w:t>Group Transaction/Deal Value</w:t>
            </w:r>
          </w:p>
        </w:tc>
        <w:tc>
          <w:tcPr>
            <w:tcW w:type="dxa" w:w="5233"/>
          </w:tcPr>
          <w:p>
            <w:r>
              <w:t>Banknotes/coins</w:t>
            </w:r>
          </w:p>
        </w:tc>
      </w:tr>
      <w:tr>
        <w:tc>
          <w:tcPr>
            <w:tcW w:type="dxa" w:w="5233"/>
          </w:tcPr>
          <w:p>
            <w:r>
              <w:t>Business Lines</w:t>
            </w:r>
          </w:p>
        </w:tc>
        <w:tc>
          <w:tcPr>
            <w:tcW w:type="dxa" w:w="5233"/>
          </w:tcPr>
          <w:p>
            <w:r>
              <w:t>Layers (existing icon, reused)</w:t>
            </w:r>
          </w:p>
        </w:tc>
      </w:tr>
    </w:tbl>
    <w:p>
      <w:pPr/>
      <w:r>
        <w:t>Where multiple KPIs share a theme (e.g. four 'Banknotes/coins' entries, three 'Users' entries), the SAME icon component is reused — this is intentional (DRY): a new icon per unique theme, not per KPI label, keeps icons.tsx from growing to 38 near-duplicate SVGs.</w:t>
      </w:r>
    </w:p>
    <w:p>
      <w:pPr>
        <w:pStyle w:val="Heading3"/>
      </w:pPr>
      <w:r>
        <w:t>Fallback behavior</w:t>
      </w:r>
    </w:p>
    <w:p>
      <w:pPr/>
      <w:r>
        <w:t>Any KPI label not present in the mapping table above (e.g. a future KPI added later) falls back to the existing generic TrendIcon, matching current behavior exactly — no KPI tile ever renders without an icon.</w:t>
      </w:r>
    </w:p>
    <w:p>
      <w:pPr>
        <w:pStyle w:val="Heading3"/>
      </w:pPr>
      <w:r>
        <w:t>Placement, sizing, accessibility</w:t>
      </w:r>
    </w:p>
    <w:p>
      <w:pPr>
        <w:pStyle w:val="ListParagraph"/>
      </w:pPr>
      <w:r>
        <w:t>Placement: top-right of the KPI card, replacing the current '.iconbadge' position exactly (KpiTile.tsx already places TrendIcon there) — no layout change to the existing tilehead row, label, value, delta, or tooltip.</w:t>
      </w:r>
    </w:p>
    <w:p>
      <w:pPr>
        <w:pStyle w:val="ListParagraph"/>
      </w:pPr>
      <w:r>
        <w:t>Sizing: same 14x14 viewBox/stroke convention as the existing icon set, inside the existing .iconbadge 28px circle.</w:t>
      </w:r>
    </w:p>
    <w:p>
      <w:pPr>
        <w:pStyle w:val="ListParagraph"/>
      </w:pPr>
      <w:r>
        <w:t>Accessibility: icons remain decorative (aria-hidden), consistent with current TrendIcon usage — the KPI label text already carries the semantic meaning.</w:t>
      </w:r>
    </w:p>
    <w:p>
      <w:pPr>
        <w:pStyle w:val="ListParagraph"/>
      </w:pPr>
      <w:r>
        <w:t>Responsive: no change needed; '.iconbadge' sizing is already fixed-px and unaffected by viewport width.</w:t>
      </w:r>
    </w:p>
    <w:p>
      <w:pPr>
        <w:pStyle w:val="Heading3"/>
      </w:pPr>
      <w:r>
        <w:t>Implementation approach</w:t>
      </w:r>
    </w:p>
    <w:p>
      <w:pPr/>
      <w:r>
        <w:t>A new ICON_FOR_KPI: Record&lt;string, ComponentType&gt; map (parallel structure to the existing KPI_CALCULATIONS map in kpi-calculations.ts) resolves each kpi.label to its themed icon component; KpiTile.tsx looks it up with the same fallback-to-generic pattern it already uses for calculation text (KPI_CALCULATIONS[kpi.label] ?? "").</w:t>
      </w:r>
    </w:p>
    <w:p>
      <w:pPr>
        <w:pStyle w:val="Heading2"/>
      </w:pPr>
      <w:r>
        <w:t>9.5 Enhancement 5 — Dynamic Trend Indicators</w:t>
      </w:r>
    </w:p>
    <w:p>
      <w:pPr>
        <w:pStyle w:val="Heading3"/>
      </w:pPr>
      <w:r>
        <w:t>Current state — read honestly before planning</w:t>
      </w:r>
    </w:p>
    <w:p>
      <w:pPr/>
      <w:r>
        <w:t>Inspected every src/lib/orchestration/*.ts file. Every KPI's deltaLabel (e.g. '▲ 6.2% MoM') and deltaDirection ('up'/'down'/'flat') are STATIC STRING LITERALS hard-coded per KPI at the point each SubsidiaryView is built — e.g. rukisha.ts line ~67: deltaLabel: '▲ 6.2% MoM', deltaDirection: 'up'. This is explicitly flagged in rukisha.ts's own top-of-file comment: 'period-over-period deltas ... require a prior-period dataset, which the current seed script does not yet generate.'</w:t>
      </w:r>
    </w:p>
    <w:p>
      <w:pPr/>
      <w:r>
        <w:t>The .deltaUp / .deltaDown / .deltaFlat CSS classes and KpiTile's deltaDirection-based class selection (already implemented, Phase 5 acceptance-tested) ARE genuinely conditional on kpi.deltaDirection — the styling mechanism is real and correct. What is NOT real is the DATA feeding it: deltaDirection is currently always a hard-coded constant per KPI, never computed from an actual prior-period comparison.</w:t>
      </w:r>
    </w:p>
    <w:p>
      <w:pPr>
        <w:pStyle w:val="Heading3"/>
      </w:pPr>
      <w:r>
        <w:t>What would be required for genuine dynamic trend indicators</w:t>
      </w:r>
    </w:p>
    <w:p>
      <w:pPr>
        <w:pStyle w:val="ListParagraph"/>
      </w:pPr>
      <w:r>
        <w:t>A prior-period dataset: either (a) a second query per KPI scoped to the prior period, or (b) a single query returning both current and prior period rows, then diffing in the Core Logic layer.</w:t>
      </w:r>
    </w:p>
    <w:p>
      <w:pPr>
        <w:pStyle w:val="ListParagraph"/>
      </w:pPr>
      <w:r>
        <w:t>A new Core Logic contract: each calculation function (or a new sibling function) would need to accept both current and prior period inputs and return { value, priorValue, deltaDirection, deltaPct }, instead of today's single-period signature.</w:t>
      </w:r>
    </w:p>
    <w:p>
      <w:pPr>
        <w:pStyle w:val="ListParagraph"/>
      </w:pPr>
      <w:r>
        <w:t>Seed data changes: most tables (contribution, withdrawal, fee_ledger) are currently generated for a SINGLE hard-coded period '2026-06' only (data/seed.py lines ~250, ~265, ~329) — there is no prior-period data in the database at all today for these tables. See §9.7's data-requirements analysis below, which covers this in full since it is the same underlying gap.</w:t>
      </w:r>
    </w:p>
    <w:p>
      <w:pPr>
        <w:pStyle w:val="Heading3"/>
      </w:pPr>
      <w:r>
        <w:t>Honest recommendation</w:t>
      </w:r>
    </w:p>
    <w:p>
      <w:pPr/>
      <w:r>
        <w:t>Do NOT fabricate dynamic deltas without real prior-period data, per the explicit instruction against this. Genuine dynamic trend indicators share the exact same data-architecture dependency as Enhancement 7 (Dynamic Graphs) — both need a real multi-period dataset that does not currently exist. Recommend implementing the data-architecture work ONCE (as part of Enhancement 7's data requirements) and having both Enhancement 5 and Enhancement 7 consume it, rather than solving the same problem twice.</w:t>
      </w:r>
    </w:p>
    <w:p>
      <w:pPr/>
      <w:r>
        <w:t>Until that data architecture work lands, this enhancement's only safe incremental step is: Zero/flat delta handling — currently all 38 seeded deltaLabel values are 'up' (confirmed by grep across all orchestration files); no KPI currently exercises .deltaDown or .deltaFlat with real data. A single deliberately-flat or deliberately-negative KPI value could be seeded to prove out the already-correct styling mechanism, without claiming the underlying trend is dynamically computed. This is a data/testing nuance, not a code change, and should be decided together with Enhancement 7's seed-data rework.</w:t>
      </w:r>
    </w:p>
    <w:p>
      <w:pPr>
        <w:pStyle w:val="Heading2"/>
      </w:pPr>
      <w:r>
        <w:t>9.6 Enhancement 6 — Profile Dropdown</w:t>
      </w:r>
    </w:p>
    <w:p>
      <w:pPr>
        <w:pStyle w:val="Heading3"/>
      </w:pPr>
      <w:r>
        <w:t>Current state</w:t>
      </w:r>
    </w:p>
    <w:p>
      <w:pPr/>
      <w:r>
        <w:t>'.avatar' ("FM" initials) + '.usermeta' ("Finance Manager" / "manager@cpfgroup.co.ke") in DashboardShell's header are static, non-interactive display elements — no click handler, no popover, no state.</w:t>
      </w:r>
    </w:p>
    <w:p>
      <w:pPr>
        <w:pStyle w:val="Heading3"/>
      </w:pPr>
      <w:r>
        <w:t>Scope conflict identified</w:t>
      </w:r>
    </w:p>
    <w:p>
      <w:pPr/>
      <w:r>
        <w:t>"Personal Profile" and "Logout" as literal, functioning menu items imply a real logged-in identity and a real session to log out of — both of which require authentication, which Phase 1 explicitly and repeatedly excludes ("no real authentication" — Scope Note; "Authentication/Authorization: none — explicitly out of scope" — Phase 3 SDD §7). Implementing a real Logout button with no real session to terminate would be either misleading (a button that does nothing) or would require standing up real auth to make it meaningful — both violate the Phase 1 boundary, the first by being dishonest UI, the second by direct scope violation.</w:t>
      </w:r>
    </w:p>
    <w:p>
      <w:pPr>
        <w:pStyle w:val="Heading3"/>
      </w:pPr>
      <w:r>
        <w:t>Scope-safe implementation</w:t>
      </w:r>
    </w:p>
    <w:p>
      <w:pPr/>
      <w:r>
        <w:t>A UI-only popover triggered by clicking '.avatar', styled consistently with the existing '.alertspanel' (reusing the same open/close + outside-click pattern from §9.3.a, applied to a second independent ref/wrapper so opening one does not affect the other). Contents are presentational only:</w:t>
      </w:r>
    </w:p>
    <w:p>
      <w:pPr>
        <w:pStyle w:val="ListParagraph"/>
      </w:pPr>
      <w:r>
        <w:t>"Personal Profile" — a disabled/static menu row displaying the existing static "Finance Manager" / "manager@cpfgroup.co.ke" info (no new data, no settings form, no editable fields — this is a prototype with one fixed persona, not a profile management feature).</w:t>
      </w:r>
    </w:p>
    <w:p>
      <w:pPr>
        <w:pStyle w:val="ListParagraph"/>
      </w:pPr>
      <w:r>
        <w:t>"Logout" — rendered as a disabled control with a tooltip/label such as "Not available — authentication is outside this prototype's scope", OR omitted entirely in favor of a single "Close" affordance on the popover itself. Recommend omitting a literal 'Logout' item rather than shipping a non-functional one, since a visibly-disabled auth action invites the exact scope question this document is trying to avoid raising for users of the live prototype.</w:t>
      </w:r>
    </w:p>
    <w:p>
      <w:pPr/>
      <w:r>
        <w:t>This keeps the enhancement entirely client-side, UI-only, with zero new dependencies, zero session/identity logic, and zero conflict with Phase 1's authentication exclusion.</w:t>
      </w:r>
    </w:p>
    <w:p>
      <w:pPr>
        <w:pStyle w:val="Heading2"/>
      </w:pPr>
      <w:r>
        <w:t>9.7 Enhancement 7 — Dynamic Graphs</w:t>
      </w:r>
    </w:p>
    <w:p>
      <w:pPr>
        <w:pStyle w:val="Heading3"/>
      </w:pPr>
      <w:r>
        <w:t>Current state — trend data</w:t>
      </w:r>
    </w:p>
    <w:p>
      <w:pPr/>
      <w:r>
        <w:t>src/lib/orchestration/trend.ts's syntheticTrend(seed) function generates a deterministic but ENTIRELY FAKE 6-point ascending series from a seeded random number generator — its own docstring states: "for the sparkline when only a current snapshot is available in fixtures, not true monthly history... Real historical trends will replace this once the Infrastructure/Data layer reads monthly rows from a provisioned Supabase project." Every TrendChart on every subsidiary view (9 charts total: 3 per subsidiary x 3 subsidiaries, the third CPF Capital &amp; Advisory pillar uses BulletChart instead) is currently backed by this synthetic generator, not real data.</w:t>
      </w:r>
    </w:p>
    <w:p>
      <w:pPr>
        <w:pStyle w:val="Heading3"/>
      </w:pPr>
      <w:r>
        <w:t>Current state — underlying date/period data in Supabase</w:t>
      </w:r>
    </w:p>
    <w:p>
      <w:pPr/>
      <w:r>
        <w:t>Inspected data/seed.py's actual date/period generation logic in full:</w:t>
      </w:r>
    </w:p>
    <w:p>
      <w:pPr>
        <w:pStyle w:val="ListParagraph"/>
      </w:pPr>
      <w:r>
        <w:t>contribution, withdrawal, fee_ledger: ALL rows generated for a single hard-coded period = "2026-06" (seed.py lines ~250, ~265, ~329). There is NO multi-month history for these three tables at all — MoM/QoQ comparisons are architecturally impossible against the current seed without changing this.</w:t>
      </w:r>
    </w:p>
    <w:p>
      <w:pPr>
        <w:pStyle w:val="ListParagraph"/>
      </w:pPr>
      <w:r>
        <w:t>loan_account / repayment / transaction / wallet: have real date fields (due_date, paid_date, created_at, last_transaction_at) populated via _random_date_within(N), which scatters dates randomly across the last N days (30-180 depending on table) — real dates exist, but there is no existing query or orchestration logic anywhere that buckets these by month/quarter. Building that bucketing is new work, not a data-generation problem.</w:t>
      </w:r>
    </w:p>
    <w:p>
      <w:pPr>
        <w:pStyle w:val="ListParagraph"/>
      </w:pPr>
      <w:r>
        <w:t>reit_nav_history: the ONE table with genuine multi-month structure — 6 real monthly data points (generate_reit_nav_history, months=6), already consumed correctly by getLatestUnitNav(). This table proves the pattern works; it is simply not applied anywhere else yet.</w:t>
      </w:r>
    </w:p>
    <w:p>
      <w:pPr>
        <w:pStyle w:val="ListParagraph"/>
      </w:pPr>
      <w:r>
        <w:t>deal / issuance: have close_date/issue_date scattered via _random_date_within, same situation as loan_account above.</w:t>
      </w:r>
    </w:p>
    <w:p>
      <w:pPr>
        <w:pStyle w:val="Heading3"/>
      </w:pPr>
      <w:r>
        <w:t>What "sufficient historical data" requires, honestly</w:t>
      </w:r>
    </w:p>
    <w:p>
      <w:pPr/>
      <w:r>
        <w:t>The current seeded database does NOT contain sufficient data to support genuine MoM/QoQ/YTD graph reactivity for most KPIs, for two independent reasons: (1) contribution/withdrawal/fee_ledger have no multi-period data at all — a hard data gap, not a code gap; (2) tables that DO have scattered real dates have no orchestration-layer logic to aggregate them into monthly/quarterly buckets — a code gap, not a data gap. Both must be addressed; neither alone is sufficient.</w:t>
      </w:r>
    </w:p>
    <w:p>
      <w:pPr>
        <w:pStyle w:val="Heading3"/>
      </w:pPr>
      <w:r>
        <w:t>Required changes (both are needed, not faked)</w:t>
      </w:r>
    </w:p>
    <w:p>
      <w:pPr>
        <w:pStyle w:val="Heading3"/>
      </w:pPr>
      <w:r>
        <w:t xml:space="preserve">  Data-generation changes (data/seed.py)</w:t>
      </w:r>
    </w:p>
    <w:p>
      <w:pPr>
        <w:pStyle w:val="ListParagraph"/>
      </w:pPr>
      <w:r>
        <w:t>Replace the hard-coded period="2026-06" parameter on generate_contributions, generate_withdrawals, and generate_fee_ledger with a loop that generates one set of rows per month for (e.g.) Jan-Jun 2026 — following the exact pattern already proven by generate_reit_nav_history's months=6 loop. This stays entirely within the existing dummy-data architecture: still Python/pandas, still deterministic/seeded, still no real financial data, still respecting the ≤900-rows-per-table free-tier cap (b73743b) — six months of contributions at a smaller per-month count stays under the cap.</w:t>
      </w:r>
    </w:p>
    <w:p>
      <w:pPr>
        <w:pStyle w:val="ListParagraph"/>
      </w:pPr>
      <w:r>
        <w:t>loan_account/transaction/deal/issuance already have real scattered dates; no seed change needed for these — only the orchestration-layer aggregation below.</w:t>
      </w:r>
    </w:p>
    <w:p>
      <w:pPr>
        <w:pStyle w:val="Heading3"/>
      </w:pPr>
      <w:r>
        <w:t xml:space="preserve">  Orchestration-layer changes (src/lib/orchestration/*.ts + src/lib/data/*-queries.ts)</w:t>
      </w:r>
    </w:p>
    <w:p>
      <w:pPr>
        <w:pStyle w:val="ListParagraph"/>
      </w:pPr>
      <w:r>
        <w:t>New query functions that accept a period-start/period-end range and return only rows whose date/period column falls within it (the data-access layer's existing getContributions(schemeIds, period?) in cpf-financial-services-queries.ts already accepts an OPTIONAL period filter — confirming this layer was designed with this extension in mind; it simply has never been called with multiple distinct periods).</w:t>
      </w:r>
    </w:p>
    <w:p>
      <w:pPr>
        <w:pStyle w:val="ListParagraph"/>
      </w:pPr>
      <w:r>
        <w:t>A new orchestration function per subsidiary that, given the active Period ('MoM'|'QoQ'|'YTD'), computes the correct date range, runs the calculation functions against each period's rows, and returns a real array of points instead of syntheticTrend's fake series.</w:t>
      </w:r>
    </w:p>
    <w:p>
      <w:pPr>
        <w:pStyle w:val="ListParagraph"/>
      </w:pPr>
      <w:r>
        <w:t>This is the SAME data-architecture work that Enhancement 5 (Dynamic Trend Indicators) needs — a prior-period comparison is a 2-point special case of the same N-point range aggregation. Recommend building the range-aggregation capability once and having both enhancements consume it.</w:t>
      </w:r>
    </w:p>
    <w:p>
      <w:pPr>
        <w:pStyle w:val="Heading3"/>
      </w:pPr>
      <w:r>
        <w:t>Default state, reactivity, and dynamic titles</w:t>
      </w:r>
    </w:p>
    <w:p>
      <w:pPr/>
      <w:r>
        <w:t>Default: YTD on first load — already implemented today (DashboardShell.tsx: useState&lt;Period&gt;('YTD')) and does not need to change; the current code already derives the current month from new Date() via refresh-meta.ts's buildRefreshMeta(), with no hard-coded October anywhere in production logic (confirmed: grep for '2026-10' or literal month names tied to "current" returns no match outside the one YEAR_START="2026-01-01" constant in cpf-capital-advisory.ts, which bounds the seeded data's YTD window, not the current-month calculation itself).</w:t>
      </w:r>
    </w:p>
    <w:p>
      <w:pPr/>
      <w:r>
        <w:t>Reactivity: once the data-architecture changes above exist, the existing period useState in DashboardShell must be threaded down into PillarSection/TrendChart (today it affects only refresh-meta's label text, confirmed by tracing its only consumer, refreshMeta.periodRanges[period], at DashboardShell.tsx line ~186) and into a new orchestration call that re-fetches/re-aggregates when period changes. Because the current page.tsx is a Server Component that fetches once per request, this likely requires either (a) fetching all three periods' worth of trend data up front and switching between them client-side (no extra round-trip, larger initial payload), or (b) converting the trend fetch into a client-side fetch triggered by period change (smaller initial payload, adds a loading state). Recommend (a) given the small seeded dataset size — consistent with the project's documented 'no caching layer needed yet, small dataset' stance (Phase 3 SDD §8).</w:t>
      </w:r>
    </w:p>
    <w:p>
      <w:pPr/>
      <w:r>
        <w:t>Dynamic chart titles — complete list of affected charts and their period-specific titles:</w:t>
      </w:r>
    </w:p>
    <w:tbl>
      <w:tblPr>
        <w:tblW w:type="auto" w:w="0"/>
        <w:tblLook w:firstColumn="1" w:firstRow="1" w:lastColumn="0" w:lastRow="0" w:noHBand="0" w:noVBand="1" w:val="04A0"/>
      </w:tblPr>
      <w:tblGrid>
        <w:gridCol w:w="3489"/>
        <w:gridCol w:w="3489"/>
        <w:gridCol w:w="3489"/>
      </w:tblGrid>
      <w:tr>
        <w:tc>
          <w:tcPr>
            <w:tcW w:type="dxa" w:w="3489"/>
          </w:tcPr>
          <w:p>
            <w:r>
              <w:t>MoM title (current, hard-coded)</w:t>
            </w:r>
          </w:p>
        </w:tc>
        <w:tc>
          <w:tcPr>
            <w:tcW w:type="dxa" w:w="3489"/>
          </w:tcPr>
          <w:p>
            <w:r>
              <w:t>QoQ title</w:t>
            </w:r>
          </w:p>
        </w:tc>
        <w:tc>
          <w:tcPr>
            <w:tcW w:type="dxa" w:w="3489"/>
          </w:tcPr>
          <w:p>
            <w:r>
              <w:t>YTD title</w:t>
            </w:r>
          </w:p>
        </w:tc>
      </w:tr>
      <w:tr>
        <w:tc>
          <w:tcPr>
            <w:tcW w:type="dxa" w:w="3489"/>
          </w:tcPr>
          <w:p>
            <w:r>
              <w:t>Monthly Disbursements (KES M)</w:t>
            </w:r>
          </w:p>
        </w:tc>
        <w:tc>
          <w:tcPr>
            <w:tcW w:type="dxa" w:w="3489"/>
          </w:tcPr>
          <w:p>
            <w:r>
              <w:t>Quarterly Disbursements (KES M)</w:t>
            </w:r>
          </w:p>
        </w:tc>
        <w:tc>
          <w:tcPr>
            <w:tcW w:type="dxa" w:w="3489"/>
          </w:tcPr>
          <w:p>
            <w:r>
              <w:t>YTD Disbursements (KES M)</w:t>
            </w:r>
          </w:p>
        </w:tc>
      </w:tr>
      <w:tr>
        <w:tc>
          <w:tcPr>
            <w:tcW w:type="dxa" w:w="3489"/>
          </w:tcPr>
          <w:p>
            <w:r>
              <w:t>Monthly Transaction Value (KES M)</w:t>
            </w:r>
          </w:p>
        </w:tc>
        <w:tc>
          <w:tcPr>
            <w:tcW w:type="dxa" w:w="3489"/>
          </w:tcPr>
          <w:p>
            <w:r>
              <w:t>Quarterly Transaction Value (KES M)</w:t>
            </w:r>
          </w:p>
        </w:tc>
        <w:tc>
          <w:tcPr>
            <w:tcW w:type="dxa" w:w="3489"/>
          </w:tcPr>
          <w:p>
            <w:r>
              <w:t>YTD Transaction Value (KES M)</w:t>
            </w:r>
          </w:p>
        </w:tc>
      </w:tr>
      <w:tr>
        <w:tc>
          <w:tcPr>
            <w:tcW w:type="dxa" w:w="3489"/>
          </w:tcPr>
          <w:p>
            <w:r>
              <w:t>Combined Savings Balance (KES M)</w:t>
            </w:r>
          </w:p>
        </w:tc>
        <w:tc>
          <w:tcPr>
            <w:tcW w:type="dxa" w:w="3489"/>
          </w:tcPr>
          <w:p>
            <w:r>
              <w:t>Combined Savings Balance (KES M, QoQ)</w:t>
            </w:r>
          </w:p>
        </w:tc>
        <w:tc>
          <w:tcPr>
            <w:tcW w:type="dxa" w:w="3489"/>
          </w:tcPr>
          <w:p>
            <w:r>
              <w:t>Combined Savings Balance (KES M, YTD)</w:t>
            </w:r>
          </w:p>
        </w:tc>
      </w:tr>
      <w:tr>
        <w:tc>
          <w:tcPr>
            <w:tcW w:type="dxa" w:w="3489"/>
          </w:tcPr>
          <w:p>
            <w:r>
              <w:t>Fund Balance Trend (KES Bn)</w:t>
            </w:r>
          </w:p>
        </w:tc>
        <w:tc>
          <w:tcPr>
            <w:tcW w:type="dxa" w:w="3489"/>
          </w:tcPr>
          <w:p>
            <w:r>
              <w:t>Fund Balance Trend (KES Bn, QoQ)</w:t>
            </w:r>
          </w:p>
        </w:tc>
        <w:tc>
          <w:tcPr>
            <w:tcW w:type="dxa" w:w="3489"/>
          </w:tcPr>
          <w:p>
            <w:r>
              <w:t>Fund Balance Trend (KES Bn, YTD)</w:t>
            </w:r>
          </w:p>
        </w:tc>
      </w:tr>
      <w:tr>
        <w:tc>
          <w:tcPr>
            <w:tcW w:type="dxa" w:w="3489"/>
          </w:tcPr>
          <w:p>
            <w:r>
              <w:t>Assets Under Administration Trend (KES Bn)</w:t>
            </w:r>
          </w:p>
        </w:tc>
        <w:tc>
          <w:tcPr>
            <w:tcW w:type="dxa" w:w="3489"/>
          </w:tcPr>
          <w:p>
            <w:r>
              <w:t>AUA Trend (KES Bn, QoQ)</w:t>
            </w:r>
          </w:p>
        </w:tc>
        <w:tc>
          <w:tcPr>
            <w:tcW w:type="dxa" w:w="3489"/>
          </w:tcPr>
          <w:p>
            <w:r>
              <w:t>AUA Trend (KES Bn, YTD)</w:t>
            </w:r>
          </w:p>
        </w:tc>
      </w:tr>
      <w:tr>
        <w:tc>
          <w:tcPr>
            <w:tcW w:type="dxa" w:w="3489"/>
          </w:tcPr>
          <w:p>
            <w:r>
              <w:t>Agency Transaction Value Trend (KES M)</w:t>
            </w:r>
          </w:p>
        </w:tc>
        <w:tc>
          <w:tcPr>
            <w:tcW w:type="dxa" w:w="3489"/>
          </w:tcPr>
          <w:p>
            <w:r>
              <w:t>Agency Transaction Value Trend (KES M, QoQ)</w:t>
            </w:r>
          </w:p>
        </w:tc>
        <w:tc>
          <w:tcPr>
            <w:tcW w:type="dxa" w:w="3489"/>
          </w:tcPr>
          <w:p>
            <w:r>
              <w:t>Agency Transaction Value Trend (KES M, YTD)</w:t>
            </w:r>
          </w:p>
        </w:tc>
      </w:tr>
      <w:tr>
        <w:tc>
          <w:tcPr>
            <w:tcW w:type="dxa" w:w="3489"/>
          </w:tcPr>
          <w:p>
            <w:r>
              <w:t>Unit NAV Trend (KES)</w:t>
            </w:r>
          </w:p>
        </w:tc>
        <w:tc>
          <w:tcPr>
            <w:tcW w:type="dxa" w:w="3489"/>
          </w:tcPr>
          <w:p>
            <w:r>
              <w:t>Unit NAV Trend (KES, QoQ)</w:t>
            </w:r>
          </w:p>
        </w:tc>
        <w:tc>
          <w:tcPr>
            <w:tcW w:type="dxa" w:w="3489"/>
          </w:tcPr>
          <w:p>
            <w:r>
              <w:t>Unit NAV Trend (KES, YTD)</w:t>
            </w:r>
          </w:p>
        </w:tc>
      </w:tr>
      <w:tr>
        <w:tc>
          <w:tcPr>
            <w:tcW w:type="dxa" w:w="3489"/>
          </w:tcPr>
          <w:p>
            <w:r>
              <w:t>Cumulative Deal Value YTD (KES Bn)</w:t>
            </w:r>
          </w:p>
        </w:tc>
        <w:tc>
          <w:tcPr>
            <w:tcW w:type="dxa" w:w="3489"/>
          </w:tcPr>
          <w:p>
            <w:r>
              <w:t>Cumulative Deal Value QTD (KES Bn)</w:t>
            </w:r>
          </w:p>
        </w:tc>
        <w:tc>
          <w:tcPr>
            <w:tcW w:type="dxa" w:w="3489"/>
          </w:tcPr>
          <w:p>
            <w:r>
              <w:t>Cumulative Deal Value YTD (KES Bn)</w:t>
            </w:r>
          </w:p>
        </w:tc>
      </w:tr>
    </w:tbl>
    <w:p>
      <w:pPr/>
      <w:r>
        <w:t>Titles should be generated from a {label}.replace(/^Monthly|Quarterly|Cumulative.../, ...) helper driven by the active Period, rather than three separate hard-coded strings per chart, to avoid 24 new hard-coded literals replacing today's 8.</w:t>
      </w:r>
    </w:p>
    <w:p>
      <w:pPr>
        <w:pStyle w:val="Heading3"/>
      </w:pPr>
      <w:r>
        <w:t>Risk</w:t>
      </w:r>
    </w:p>
    <w:p>
      <w:pPr/>
      <w:r>
        <w:t>This is the single largest enhancement in terms of real architectural work (seed data + data-access + orchestration + UI), and it is the one most likely to reveal additional edge cases (e.g. what does MoM look like for a KPI whose only data is the single seeded month?). Recommend sequencing this LAST among the seven enhancements, after routing (9.2) and the simpler UI-only items are stable, so the final Phase 6 test pass targets a settled DOM/route structure for everything except this one data-heavy piece.</w:t>
      </w:r>
    </w:p>
    <w:p>
      <w:pPr>
        <w:pStyle w:val="Heading2"/>
      </w:pPr>
      <w:r>
        <w:t>9.8 Recommended implementation sequence</w:t>
      </w:r>
    </w:p>
    <w:p>
      <w:pPr/>
      <w:r>
        <w:t>Sequenced by the dependencies traced in each enhancement above, not the order the enhancements were requested in:</w:t>
      </w:r>
    </w:p>
    <w:p>
      <w:pPr>
        <w:pStyle w:val="Heading3"/>
      </w:pPr>
      <w:r>
        <w:t>Stage 1 — Routing foundation (§9.2)</w:t>
      </w:r>
    </w:p>
    <w:p>
      <w:pPr/>
      <w:r>
        <w:t>Convert tab state to App Router routes (/rukisha, /cpf-financial-services, /cpf-capital-advisory, /group, /about); extract shared chrome into a route-group layout. Everything else in this list is easier to build correctly once the final navigation shape exists.</w:t>
      </w:r>
    </w:p>
    <w:p>
      <w:pPr>
        <w:pStyle w:val="Heading3"/>
      </w:pPr>
      <w:r>
        <w:t>Stage 2 — Service Dropdown (§9.1)</w:t>
      </w:r>
    </w:p>
    <w:p>
      <w:pPr/>
      <w:r>
        <w:t>Add the per-subsidiary pillar selector, using the Stage 1 routes' query params for persistence. Depends on Stage 1 for clean URL-based state; can be built against the pre-Stage-1 tab state if routing is deferred, but would need rework.</w:t>
      </w:r>
    </w:p>
    <w:p>
      <w:pPr>
        <w:pStyle w:val="Heading3"/>
      </w:pPr>
      <w:r>
        <w:t>Stage 3 — Profile dropdown + Notifications confirmation (§9.6, §9.3.a)</w:t>
      </w:r>
    </w:p>
    <w:p>
      <w:pPr/>
      <w:r>
        <w:t>Smallest, most isolated items. Notifications needs no new work (already correct) — just final confirmation against Stage 1's routing changes. Profile dropdown reuses the exact same outside-click pattern already proven by the alerts panel.</w:t>
      </w:r>
    </w:p>
    <w:p>
      <w:pPr>
        <w:pStyle w:val="Heading3"/>
      </w:pPr>
      <w:r>
        <w:t>Stage 4 — Contextual KPI icons (§9.4)</w:t>
      </w:r>
    </w:p>
    <w:p>
      <w:pPr/>
      <w:r>
        <w:t>Pure presentation change, zero data/architecture dependency. Can run in parallel with any other stage; placed here because it is a convenient low-risk filler between the structural stages.</w:t>
      </w:r>
    </w:p>
    <w:p>
      <w:pPr>
        <w:pStyle w:val="Heading3"/>
      </w:pPr>
      <w:r>
        <w:t>Stage 5 — Search (§9.3.b) and Export (§9.3.c)</w:t>
      </w:r>
    </w:p>
    <w:p>
      <w:pPr/>
      <w:r>
        <w:t>Both are client-side-only against data the page already holds. Search benefits from Stage 1's routes for its 'navigate to subsidiary' result type; Export benefits from Stage 2's pillar filter being in place so it can respect the active selection.</w:t>
      </w:r>
    </w:p>
    <w:p>
      <w:pPr>
        <w:pStyle w:val="Heading3"/>
      </w:pPr>
      <w:r>
        <w:t>Stage 6 — Data architecture for periods (shared by §9.5 and §9.7)</w:t>
      </w:r>
    </w:p>
    <w:p>
      <w:pPr/>
      <w:r>
        <w:t>The seed.py multi-month rework for contribution/withdrawal/fee_ledger, plus the new range-aware query functions and orchestration aggregation logic. The single largest stage; build once, consumed by Stage 7.</w:t>
      </w:r>
    </w:p>
    <w:p>
      <w:pPr>
        <w:pStyle w:val="Heading3"/>
      </w:pPr>
      <w:r>
        <w:t>Stage 7 — Dynamic graphs + trend indicators (§9.7, §9.5)</w:t>
      </w:r>
    </w:p>
    <w:p>
      <w:pPr/>
      <w:r>
        <w:t>Wire the Period selector into real data using Stage 6's new capability; dynamic chart titles; genuine (not fabricated) deltaDirection computation where prior-period data now exists.</w:t>
      </w:r>
    </w:p>
    <w:p>
      <w:pPr>
        <w:pStyle w:val="Heading3"/>
      </w:pPr>
      <w:r>
        <w:t>Stage 8 — Final UI integration pass</w:t>
      </w:r>
    </w:p>
    <w:p>
      <w:pPr/>
      <w:r>
        <w:t>Cross-cutting regression pass across all seven enhancements together: confirm the Service Dropdown + routing + search + export all compose correctly on every subsidiary, confirm no enhancement regressed the existing Phase 5 acceptance surface (§9.9), confirm mobile layouts hold across all new controls.</w:t>
      </w:r>
    </w:p>
    <w:p>
      <w:pPr>
        <w:pStyle w:val="Heading2"/>
      </w:pPr>
      <w:r>
        <w:t>9.9 Phase 6 testing implications</w:t>
      </w:r>
    </w:p>
    <w:p>
      <w:pPr/>
      <w:r>
        <w:t>Phase 6 — Testing does not begin until all stages in §9.8 are complete and this document is updated to record that completion. When Phase 6 does begin, its scope must cover, at minimum:</w:t>
      </w:r>
    </w:p>
    <w:p>
      <w:pPr>
        <w:pStyle w:val="ListParagraph"/>
      </w:pPr>
      <w:r>
        <w:t>All existing Phase 5 acceptance behavior (the 23 cases already defined in tests/phase5-acceptance.spec.ts): navigation, KPI cards, delta styling, tooltips, trend charts render, Group View, YTD default, period switching, alerts bell, alerts outside-click, mobile nav at 375/390, About page, no horizontal overflow, financial sanity.</w:t>
      </w:r>
    </w:p>
    <w:p>
      <w:pPr>
        <w:pStyle w:val="ListParagraph"/>
      </w:pPr>
      <w:r>
        <w:t>Routing: each dedicated route renders correctly; direct URL navigation to any route works; browser back/forward works; active nav state reflects the current route.</w:t>
      </w:r>
    </w:p>
    <w:p>
      <w:pPr>
        <w:pStyle w:val="ListParagraph"/>
      </w:pPr>
      <w:r>
        <w:t>Service Dropdown: correct options per subsidiary; filtering behavior; reset-on-tab-change; URL persistence if implemented via query params.</w:t>
      </w:r>
    </w:p>
    <w:p>
      <w:pPr>
        <w:pStyle w:val="ListParagraph"/>
      </w:pPr>
      <w:r>
        <w:t>Notifications: re-confirm the already-passing behavior still holds after routing changes (regression check, not new functionality).</w:t>
      </w:r>
    </w:p>
    <w:p>
      <w:pPr>
        <w:pStyle w:val="ListParagraph"/>
      </w:pPr>
      <w:r>
        <w:t>Search: match behavior, empty state, no-results state, result-selection navigation.</w:t>
      </w:r>
    </w:p>
    <w:p>
      <w:pPr>
        <w:pStyle w:val="ListParagraph"/>
      </w:pPr>
      <w:r>
        <w:t>Export: downloaded file content matches the active view/filter; filename convention; empty-state handling.</w:t>
      </w:r>
    </w:p>
    <w:p>
      <w:pPr>
        <w:pStyle w:val="ListParagraph"/>
      </w:pPr>
      <w:r>
        <w:t>Filters: not applicable — no new standalone filter control was recommended (§9.3.d); nothing new to test here beyond what Service Dropdown and Period Switch already cover.</w:t>
      </w:r>
    </w:p>
    <w:p>
      <w:pPr>
        <w:pStyle w:val="ListParagraph"/>
      </w:pPr>
      <w:r>
        <w:t>Contextual KPI icons: correct icon renders per KPI per the §9.4 mapping table; fallback icon for any unmapped label.</w:t>
      </w:r>
    </w:p>
    <w:p>
      <w:pPr>
        <w:pStyle w:val="ListParagraph"/>
      </w:pPr>
      <w:r>
        <w:t>Positive/negative/zero/flat trend indicators: genuine assertions against real computed deltas once Stage 6/7 data exists — not placeholder assertions against hard-coded strings.</w:t>
      </w:r>
    </w:p>
    <w:p>
      <w:pPr>
        <w:pStyle w:val="ListParagraph"/>
      </w:pPr>
      <w:r>
        <w:t>Profile popover: opens/closes correctly; outside-click closes it; contains only the scope-safe static content defined in §9.6; no Logout/Personal-Profile action attempts a real auth operation.</w:t>
      </w:r>
    </w:p>
    <w:p>
      <w:pPr>
        <w:pStyle w:val="ListParagraph"/>
      </w:pPr>
      <w:r>
        <w:t>MoM graph behavior: correct date range, correct data points, correct dynamic title.</w:t>
      </w:r>
    </w:p>
    <w:p>
      <w:pPr>
        <w:pStyle w:val="ListParagraph"/>
      </w:pPr>
      <w:r>
        <w:t>QoQ graph behavior: same, for the quarter range.</w:t>
      </w:r>
    </w:p>
    <w:p>
      <w:pPr>
        <w:pStyle w:val="ListParagraph"/>
      </w:pPr>
      <w:r>
        <w:t>YTD graph behavior: same, for the Jan→current-month range; current month derived from live date, not hard-coded.</w:t>
      </w:r>
    </w:p>
    <w:p>
      <w:pPr>
        <w:pStyle w:val="ListParagraph"/>
      </w:pPr>
      <w:r>
        <w:t>Default YTD state: still selected on first load after all other changes land.</w:t>
      </w:r>
    </w:p>
    <w:p>
      <w:pPr>
        <w:pStyle w:val="ListParagraph"/>
      </w:pPr>
      <w:r>
        <w:t>Responsive behavior: all new controls (Service Dropdown, Profile popover, Search, Export) remain usable and non-overflowing at 375×812 and 390×844.</w:t>
      </w:r>
    </w:p>
    <w:p>
      <w:pPr>
        <w:pStyle w:val="ListParagraph"/>
      </w:pPr>
      <w:r>
        <w:t>Regression of existing Core Logic calculations: the Vitest suite from the earlier Phase 6 branch (57 calculation tests, 100% coverage) must still pass unchanged — none of these enhancements should require editing any file in src/lib/calculations/.</w:t>
      </w:r>
    </w:p>
    <w:p>
      <w:pPr>
        <w:pStyle w:val="ListParagraph"/>
      </w:pPr>
      <w:r>
        <w:t>Regression of existing Orchestration smoke tests: the 4 orchestration shape tests must still pass; new orchestration functions (Stage 6/7) need their own new smoke tests alongside them.</w:t>
      </w:r>
    </w:p>
    <w:p>
      <w:pPr>
        <w:pStyle w:val="ListParagraph"/>
      </w:pPr>
      <w:r>
        <w:t>This becomes the single, comprehensive Phase 6 validation cycle for the final combined product, run once, as intended by the chronology recorded in §9.0.</w:t>
      </w:r>
    </w:p>
    <w:sectPr w:rsidR="004546B9" w:rsidRPr="00A958B2">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87746" w14:textId="77777777" w:rsidR="00C66006" w:rsidRDefault="00C66006">
      <w:r>
        <w:separator/>
      </w:r>
    </w:p>
  </w:endnote>
  <w:endnote w:type="continuationSeparator" w:id="0">
    <w:p w14:paraId="08EE1E1B" w14:textId="77777777" w:rsidR="00C66006" w:rsidRDefault="00C66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4B277" w14:textId="77777777" w:rsidR="004546B9"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958B2">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958B2">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71D04" w14:textId="77777777" w:rsidR="00C66006" w:rsidRDefault="00C66006">
      <w:r>
        <w:separator/>
      </w:r>
    </w:p>
  </w:footnote>
  <w:footnote w:type="continuationSeparator" w:id="0">
    <w:p w14:paraId="7EE85FC6" w14:textId="77777777" w:rsidR="00C66006" w:rsidRDefault="00C66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B30B" w14:textId="77777777" w:rsidR="004546B9" w:rsidRDefault="00000000">
    <w:pPr>
      <w:jc w:val="right"/>
    </w:pPr>
    <w:r>
      <w:rPr>
        <w:i/>
        <w:iCs/>
        <w:color w:val="808080"/>
        <w:sz w:val="16"/>
        <w:szCs w:val="16"/>
      </w:rPr>
      <w:t>Phase 5 — Development | CPF Group Analytics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3C3"/>
    <w:multiLevelType w:val="hybridMultilevel"/>
    <w:tmpl w:val="9E106576"/>
    <w:lvl w:ilvl="0" w:tplc="00BA387E" w:tentative="1">
      <w:start w:val="1"/>
      <w:numFmt w:val="bullet"/>
      <w:lvlText w:val="●"/>
      <w:lvlJc w:val="left"/>
      <w:pPr>
        <w:ind w:left="720" w:hanging="360"/>
      </w:pPr>
    </w:lvl>
    <w:lvl w:ilvl="1" w:tplc="C486F768" w:tentative="1">
      <w:start w:val="1"/>
      <w:numFmt w:val="bullet"/>
      <w:lvlText w:val="○"/>
      <w:lvlJc w:val="left"/>
      <w:pPr>
        <w:ind w:left="1440" w:hanging="360"/>
      </w:pPr>
    </w:lvl>
    <w:lvl w:ilvl="2" w:tplc="FD7E969E" w:tentative="1">
      <w:start w:val="1"/>
      <w:numFmt w:val="bullet"/>
      <w:lvlText w:val="■"/>
      <w:lvlJc w:val="left"/>
      <w:pPr>
        <w:ind w:left="2160" w:hanging="360"/>
      </w:pPr>
    </w:lvl>
    <w:lvl w:ilvl="3" w:tplc="95F2FD4A" w:tentative="1">
      <w:start w:val="1"/>
      <w:numFmt w:val="bullet"/>
      <w:lvlText w:val="●"/>
      <w:lvlJc w:val="left"/>
      <w:pPr>
        <w:ind w:left="2880" w:hanging="360"/>
      </w:pPr>
    </w:lvl>
    <w:lvl w:ilvl="4" w:tplc="995E3DDA" w:tentative="1">
      <w:start w:val="1"/>
      <w:numFmt w:val="bullet"/>
      <w:lvlText w:val="○"/>
      <w:lvlJc w:val="left"/>
      <w:pPr>
        <w:ind w:left="3600" w:hanging="360"/>
      </w:pPr>
    </w:lvl>
    <w:lvl w:ilvl="5" w:tplc="287EC33E" w:tentative="1">
      <w:start w:val="1"/>
      <w:numFmt w:val="bullet"/>
      <w:lvlText w:val="■"/>
      <w:lvlJc w:val="left"/>
      <w:pPr>
        <w:ind w:left="4320" w:hanging="360"/>
      </w:pPr>
    </w:lvl>
    <w:lvl w:ilvl="6" w:tplc="B53C6250" w:tentative="1">
      <w:start w:val="1"/>
      <w:numFmt w:val="bullet"/>
      <w:lvlText w:val="●"/>
      <w:lvlJc w:val="left"/>
      <w:pPr>
        <w:ind w:left="5040" w:hanging="360"/>
      </w:pPr>
    </w:lvl>
    <w:lvl w:ilvl="7" w:tplc="EBE43B3A" w:tentative="1">
      <w:start w:val="1"/>
      <w:numFmt w:val="bullet"/>
      <w:lvlText w:val="●"/>
      <w:lvlJc w:val="left"/>
      <w:pPr>
        <w:ind w:left="5760" w:hanging="360"/>
      </w:pPr>
    </w:lvl>
    <w:lvl w:ilvl="8" w:tplc="72E8C8C4" w:tentative="1">
      <w:start w:val="1"/>
      <w:numFmt w:val="bullet"/>
      <w:lvlText w:val="●"/>
      <w:lvlJc w:val="left"/>
      <w:pPr>
        <w:ind w:left="6480" w:hanging="360"/>
      </w:pPr>
    </w:lvl>
  </w:abstractNum>
  <w:abstractNum w:abstractNumId="1" w15:restartNumberingAfterBreak="0">
    <w:nsid w:val="1D2A09A8"/>
    <w:multiLevelType w:val="hybridMultilevel"/>
    <w:tmpl w:val="33C45B7A"/>
    <w:lvl w:ilvl="0" w:tplc="CF045806">
      <w:start w:val="1"/>
      <w:numFmt w:val="bullet"/>
      <w:lvlText w:val="•"/>
      <w:lvlJc w:val="left"/>
      <w:pPr>
        <w:ind w:left="431" w:hanging="288"/>
      </w:pPr>
    </w:lvl>
    <w:lvl w:ilvl="1" w:tplc="4C8C2012">
      <w:numFmt w:val="decimal"/>
      <w:lvlText w:val=""/>
      <w:lvlJc w:val="left"/>
    </w:lvl>
    <w:lvl w:ilvl="2" w:tplc="A568F2C6">
      <w:numFmt w:val="decimal"/>
      <w:lvlText w:val=""/>
      <w:lvlJc w:val="left"/>
    </w:lvl>
    <w:lvl w:ilvl="3" w:tplc="2EAABA80">
      <w:numFmt w:val="decimal"/>
      <w:lvlText w:val=""/>
      <w:lvlJc w:val="left"/>
    </w:lvl>
    <w:lvl w:ilvl="4" w:tplc="3188B930">
      <w:numFmt w:val="decimal"/>
      <w:lvlText w:val=""/>
      <w:lvlJc w:val="left"/>
    </w:lvl>
    <w:lvl w:ilvl="5" w:tplc="07F6A8AC">
      <w:numFmt w:val="decimal"/>
      <w:lvlText w:val=""/>
      <w:lvlJc w:val="left"/>
    </w:lvl>
    <w:lvl w:ilvl="6" w:tplc="7D3CC32A">
      <w:numFmt w:val="decimal"/>
      <w:lvlText w:val=""/>
      <w:lvlJc w:val="left"/>
    </w:lvl>
    <w:lvl w:ilvl="7" w:tplc="D1AA0CC8">
      <w:numFmt w:val="decimal"/>
      <w:lvlText w:val=""/>
      <w:lvlJc w:val="left"/>
    </w:lvl>
    <w:lvl w:ilvl="8" w:tplc="BFC0B04E">
      <w:numFmt w:val="decimal"/>
      <w:lvlText w:val=""/>
      <w:lvlJc w:val="left"/>
    </w:lvl>
  </w:abstractNum>
  <w:num w:numId="1" w16cid:durableId="541750393">
    <w:abstractNumId w:val="0"/>
    <w:lvlOverride w:ilvl="0">
      <w:startOverride w:val="1"/>
    </w:lvlOverride>
  </w:num>
  <w:num w:numId="2" w16cid:durableId="7126577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6B9"/>
    <w:rsid w:val="0006262D"/>
    <w:rsid w:val="00235F82"/>
    <w:rsid w:val="004546B9"/>
    <w:rsid w:val="00874559"/>
    <w:rsid w:val="00A958B2"/>
    <w:rsid w:val="00C660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B82A3"/>
  <w15:docId w15:val="{9045A920-83FD-4AF1-A6FA-8471AAB7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264</TotalTime>
  <Pages>1</Pages>
  <Words>1023</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Vincent Collins</cp:lastModifiedBy>
  <cp:revision>3</cp:revision>
  <dcterms:created xsi:type="dcterms:W3CDTF">2026-10-03T20:33:00Z</dcterms:created>
  <dcterms:modified xsi:type="dcterms:W3CDTF">2026-10-05T13:45:00Z</dcterms:modified>
</cp:coreProperties>
</file>