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0"/>
          <w:szCs w:val="40"/>
        </w:rPr>
        <w:t xml:space="preserve">Scope Note</w:t>
      </w:r>
    </w:p>
    <w:p>
      <w:pPr>
        <w:spacing w:after="40"/>
        <w:jc w:val="center"/>
      </w:pPr>
      <w:r>
        <w:rPr>
          <w:color w:val="2E5A88"/>
          <w:sz w:val="26"/>
          <w:szCs w:val="26"/>
        </w:rPr>
        <w:t xml:space="preserve">CPF Group Multi-Subsidiary Analytics Dashboard</w:t>
      </w:r>
    </w:p>
    <w:p>
      <w:pPr>
        <w:spacing w:after="220"/>
        <w:jc w:val="center"/>
      </w:pPr>
      <w:r>
        <w:rPr>
          <w:i/>
          <w:iCs/>
          <w:sz w:val="18"/>
          <w:szCs w:val="18"/>
        </w:rPr>
        <w:t xml:space="preserve">Phase 1: Planning — Week 7 &amp; 8 Execution Plan | Prepared by Vincent Onchieku Collins</w:t>
      </w:r>
    </w:p>
    <w:p>
      <w:pPr>
        <w:spacing w:after="110"/>
      </w:pPr>
      <w:r>
        <w:rPr>
          <w:b/>
          <w:bCs/>
          <w:color w:val="1F3864"/>
        </w:rPr>
        <w:t xml:space="preserve">Objective: </w:t>
      </w:r>
      <w:r>
        <w:t xml:space="preserve">Design and build a functional, draft analytics dashboard prototype for CPF Group, spanning three subsidiaries, using dummy data, and applying the SDLC, Core Design Principles and Clean Coding Practices adopted for this build. The final submission pairs the working prototype with a 1-page design and architecture brief explaining how those practices were applied.</w:t>
      </w:r>
    </w:p>
    <w:p>
      <w:pPr>
        <w:spacing w:after="110"/>
      </w:pPr>
      <w:r>
        <w:rPr>
          <w:b/>
          <w:bCs/>
          <w:color w:val="1F3864"/>
        </w:rPr>
        <w:t xml:space="preserve">Primary user: </w:t>
      </w:r>
      <w:r>
        <w:t xml:space="preserve">A CPF Group finance manager who needs to compare portfolio performance, pension fund health, and capital markets activity across the group's three business lines in one place, rather than reading three disconnected reports.</w:t>
      </w:r>
    </w:p>
    <w:p>
      <w:pPr>
        <w:pStyle w:val="Heading2"/>
        <w:spacing w:after="100" w:before="220"/>
      </w:pPr>
      <w:r>
        <w:t xml:space="preserve">In scope — per-subsidiary views</w:t>
      </w:r>
    </w:p>
    <w:p>
      <w:pPr>
        <w:spacing w:after="110"/>
      </w:pPr>
      <w:r>
        <w:t xml:space="preserve">Each subsidiary view covers its real core service lines, not a single metric silo, so the dashboard reads like an actual diversified financial group's business-line reporting:</w:t>
      </w:r>
    </w:p>
    <w:p>
      <w:pPr>
        <w:pStyle w:val="ListParagraph"/>
        <w:numPr>
          <w:ilvl w:val="0"/>
          <w:numId w:val="2"/>
        </w:numPr>
        <w:spacing w:after="80"/>
      </w:pPr>
      <w:r>
        <w:rPr>
          <w:b/>
          <w:bCs/>
          <w:i w:val="false"/>
          <w:iCs w:val="false"/>
        </w:rPr>
        <w:t xml:space="preserve">Rukisha </w:t>
      </w:r>
      <w:r>
        <w:t xml:space="preserve">(mobile wallet — credit, payments &amp; transfers, savings):</w:t>
      </w:r>
    </w:p>
    <w:p>
      <w:pPr>
        <w:pStyle w:val="ListParagraph"/>
        <w:numPr>
          <w:ilvl w:val="1"/>
          <w:numId w:val="2"/>
        </w:numPr>
        <w:spacing w:after="80"/>
      </w:pPr>
      <w:r>
        <w:rPr>
          <w:b/>
          <w:bCs/>
          <w:i w:val="false"/>
          <w:iCs w:val="false"/>
        </w:rPr>
        <w:t xml:space="preserve">Lending: </w:t>
      </w:r>
      <w:r>
        <w:t xml:space="preserve">portfolio value, disbursement trend, repayment rate, default rate by loan product.</w:t>
      </w:r>
    </w:p>
    <w:p>
      <w:pPr>
        <w:pStyle w:val="ListParagraph"/>
        <w:numPr>
          <w:ilvl w:val="1"/>
          <w:numId w:val="2"/>
        </w:numPr>
        <w:spacing w:after="80"/>
      </w:pPr>
      <w:r>
        <w:rPr>
          <w:b/>
          <w:bCs/>
          <w:i w:val="false"/>
          <w:iCs w:val="false"/>
        </w:rPr>
        <w:t xml:space="preserve">Payments &amp; Transfers: </w:t>
      </w:r>
      <w:r>
        <w:t xml:space="preserve">transaction volume/value (merchant + P2P), active wallets, average transaction size.</w:t>
      </w:r>
    </w:p>
    <w:p>
      <w:pPr>
        <w:pStyle w:val="ListParagraph"/>
        <w:numPr>
          <w:ilvl w:val="1"/>
          <w:numId w:val="2"/>
        </w:numPr>
        <w:spacing w:after="80"/>
      </w:pPr>
      <w:r>
        <w:rPr>
          <w:b/>
          <w:bCs/>
          <w:i w:val="false"/>
          <w:iCs w:val="false"/>
        </w:rPr>
        <w:t xml:space="preserve">Savings: </w:t>
      </w:r>
      <w:r>
        <w:t xml:space="preserve">goal-based and pension-linked savings balance &amp; growth, savings-to-loan ratio.</w:t>
      </w:r>
    </w:p>
    <w:p>
      <w:pPr>
        <w:pStyle w:val="ListParagraph"/>
        <w:numPr>
          <w:ilvl w:val="0"/>
          <w:numId w:val="2"/>
        </w:numPr>
        <w:spacing w:after="80"/>
      </w:pPr>
      <w:r>
        <w:rPr>
          <w:b/>
          <w:bCs/>
          <w:i w:val="false"/>
          <w:iCs w:val="false"/>
        </w:rPr>
        <w:t xml:space="preserve">CPF Financial Services </w:t>
      </w:r>
      <w:r>
        <w:t xml:space="preserve">(pensions, trust &amp; agency):</w:t>
      </w:r>
    </w:p>
    <w:p>
      <w:pPr>
        <w:pStyle w:val="ListParagraph"/>
        <w:numPr>
          <w:ilvl w:val="1"/>
          <w:numId w:val="2"/>
        </w:numPr>
        <w:spacing w:after="80"/>
      </w:pPr>
      <w:r>
        <w:rPr>
          <w:b/>
          <w:bCs/>
          <w:i w:val="false"/>
          <w:iCs w:val="false"/>
        </w:rPr>
        <w:t xml:space="preserve">Pension Fund Administration: </w:t>
      </w:r>
      <w:r>
        <w:t xml:space="preserve">member contributions, fund balance, fund balance growth.</w:t>
      </w:r>
    </w:p>
    <w:p>
      <w:pPr>
        <w:pStyle w:val="ListParagraph"/>
        <w:numPr>
          <w:ilvl w:val="1"/>
          <w:numId w:val="2"/>
        </w:numPr>
        <w:spacing w:after="80"/>
      </w:pPr>
      <w:r>
        <w:rPr>
          <w:b/>
          <w:bCs/>
          <w:i w:val="false"/>
          <w:iCs w:val="false"/>
        </w:rPr>
        <w:t xml:space="preserve">Trust Fund Administration: </w:t>
      </w:r>
      <w:r>
        <w:t xml:space="preserve">assets under administration, trust fund growth.</w:t>
      </w:r>
    </w:p>
    <w:p>
      <w:pPr>
        <w:pStyle w:val="ListParagraph"/>
        <w:numPr>
          <w:ilvl w:val="1"/>
          <w:numId w:val="2"/>
        </w:numPr>
        <w:spacing w:after="80"/>
      </w:pPr>
      <w:r>
        <w:rPr>
          <w:b/>
          <w:bCs/>
          <w:i w:val="false"/>
          <w:iCs w:val="false"/>
        </w:rPr>
        <w:t xml:space="preserve">Agency Services: </w:t>
      </w:r>
      <w:r>
        <w:t xml:space="preserve">agency transaction volume/value, agency fee income.</w:t>
      </w:r>
    </w:p>
    <w:p>
      <w:pPr>
        <w:pStyle w:val="ListParagraph"/>
        <w:numPr>
          <w:ilvl w:val="0"/>
          <w:numId w:val="2"/>
        </w:numPr>
        <w:spacing w:after="80"/>
      </w:pPr>
      <w:r>
        <w:rPr>
          <w:b/>
          <w:bCs/>
          <w:i w:val="false"/>
          <w:iCs w:val="false"/>
        </w:rPr>
        <w:t xml:space="preserve">CPF Capital &amp; Advisory </w:t>
      </w:r>
      <w:r>
        <w:t xml:space="preserve">(capital markets &amp; alternative investments):</w:t>
      </w:r>
    </w:p>
    <w:p>
      <w:pPr>
        <w:pStyle w:val="ListParagraph"/>
        <w:numPr>
          <w:ilvl w:val="1"/>
          <w:numId w:val="2"/>
        </w:numPr>
        <w:spacing w:after="80"/>
      </w:pPr>
      <w:r>
        <w:rPr>
          <w:b/>
          <w:bCs/>
          <w:i w:val="false"/>
          <w:iCs w:val="false"/>
        </w:rPr>
        <w:t xml:space="preserve">Alternative Investments (REITs): </w:t>
      </w:r>
      <w:r>
        <w:t xml:space="preserve">AUM in REIT vehicles, investor/unit-holder count, unit NAV trend.</w:t>
      </w:r>
    </w:p>
    <w:p>
      <w:pPr>
        <w:pStyle w:val="ListParagraph"/>
        <w:numPr>
          <w:ilvl w:val="1"/>
          <w:numId w:val="2"/>
        </w:numPr>
        <w:spacing w:after="80"/>
      </w:pPr>
      <w:r>
        <w:rPr>
          <w:b/>
          <w:bCs/>
          <w:i w:val="false"/>
          <w:iCs w:val="false"/>
        </w:rPr>
        <w:t xml:space="preserve">Structured &amp; Project Finance Advisory: </w:t>
      </w:r>
      <w:r>
        <w:t xml:space="preserve">deal count &amp; value by sector, advisory fee income.</w:t>
      </w:r>
    </w:p>
    <w:p>
      <w:pPr>
        <w:pStyle w:val="ListParagraph"/>
        <w:numPr>
          <w:ilvl w:val="1"/>
          <w:numId w:val="2"/>
        </w:numPr>
        <w:spacing w:after="80"/>
      </w:pPr>
      <w:r>
        <w:rPr>
          <w:b/>
          <w:bCs/>
          <w:i w:val="false"/>
          <w:iCs w:val="false"/>
        </w:rPr>
        <w:t xml:space="preserve">Debt Capital Markets (Sukuk/Bonds): </w:t>
      </w:r>
      <w:r>
        <w:t xml:space="preserve">issuance count &amp; value, subscription rate.</w:t>
      </w:r>
    </w:p>
    <w:p>
      <w:pPr>
        <w:pStyle w:val="ListParagraph"/>
        <w:numPr>
          <w:ilvl w:val="0"/>
          <w:numId w:val="2"/>
        </w:numPr>
        <w:spacing w:after="80"/>
      </w:pPr>
      <w:r>
        <w:rPr>
          <w:b/>
          <w:bCs/>
          <w:i w:val="false"/>
          <w:iCs w:val="false"/>
        </w:rPr>
        <w:t xml:space="preserve">Group Comparison View </w:t>
      </w:r>
      <w:r>
        <w:t xml:space="preserve">— three layers on one screen:</w:t>
      </w:r>
    </w:p>
    <w:p>
      <w:pPr>
        <w:pStyle w:val="ListParagraph"/>
        <w:numPr>
          <w:ilvl w:val="1"/>
          <w:numId w:val="2"/>
        </w:numPr>
        <w:spacing w:after="80"/>
      </w:pPr>
      <w:r>
        <w:rPr>
          <w:b/>
          <w:bCs/>
          <w:i w:val="false"/>
          <w:iCs w:val="false"/>
        </w:rPr>
        <w:t xml:space="preserve">Snapshot: </w:t>
      </w:r>
      <w:r>
        <w:t xml:space="preserve">all three subsidiaries shown individually, side by side, on normalized KPI cards (assets, active clients, growth, transaction/deal value).</w:t>
      </w:r>
    </w:p>
    <w:p>
      <w:pPr>
        <w:pStyle w:val="ListParagraph"/>
        <w:numPr>
          <w:ilvl w:val="1"/>
          <w:numId w:val="2"/>
        </w:numPr>
        <w:spacing w:after="80"/>
      </w:pPr>
      <w:r>
        <w:rPr>
          <w:b/>
          <w:bCs/>
          <w:i w:val="false"/>
          <w:iCs w:val="false"/>
        </w:rPr>
        <w:t xml:space="preserve">Connection: </w:t>
      </w:r>
      <w:r>
        <w:t xml:space="preserve">a relationship view reflecting how the group actually links together — Rukisha's pension-linked savers feed CPF Financial Services' administered schemes, a share of that administered AUM is deployed into CPF Capital &amp; Advisory's investment vehicles, and returns flow back — driven by a small aggregate linking field, not per-customer matching.</w:t>
      </w:r>
    </w:p>
    <w:p>
      <w:pPr>
        <w:pStyle w:val="ListParagraph"/>
        <w:numPr>
          <w:ilvl w:val="1"/>
          <w:numId w:val="2"/>
        </w:numPr>
        <w:spacing w:after="80"/>
      </w:pPr>
      <w:r>
        <w:rPr>
          <w:b/>
          <w:bCs/>
          <w:i w:val="false"/>
          <w:iCs w:val="false"/>
        </w:rPr>
        <w:t xml:space="preserve">Combined: </w:t>
      </w:r>
      <w:r>
        <w:t xml:space="preserve">a Group Scorecard aggregating total assets under administration/management, total active clients, and total group transaction value across all three subsidiaries.</w:t>
      </w:r>
    </w:p>
    <w:p>
      <w:pPr>
        <w:pStyle w:val="ListParagraph"/>
        <w:numPr>
          <w:ilvl w:val="0"/>
          <w:numId w:val="2"/>
        </w:numPr>
        <w:spacing w:after="80"/>
      </w:pPr>
      <w:r>
        <w:rPr>
          <w:b/>
          <w:bCs/>
          <w:i w:val="false"/>
          <w:iCs w:val="false"/>
        </w:rPr>
        <w:t xml:space="preserve">Dashboard shell: </w:t>
      </w:r>
      <w:r>
        <w:t xml:space="preserve">one dashboard, not three — a single shell with a horizontal, collapsible navigation bar (Rukisha, CPF Financial Services, CPF Capital &amp; Advisory, Group View, and an About tab), built on a professional two-tone navy-and-white visual identity using the CPF Group logo and brand colours.</w:t>
      </w:r>
    </w:p>
    <w:p>
      <w:pPr>
        <w:pStyle w:val="ListParagraph"/>
        <w:numPr>
          <w:ilvl w:val="0"/>
          <w:numId w:val="2"/>
        </w:numPr>
        <w:spacing w:after="80"/>
      </w:pPr>
      <w:r>
        <w:rPr>
          <w:b/>
          <w:bCs/>
          <w:i w:val="false"/>
          <w:iCs w:val="false"/>
        </w:rPr>
        <w:t xml:space="preserve">Consistent KPI tiles: </w:t>
      </w:r>
      <w:r>
        <w:t xml:space="preserve">every pillar carries exactly four KPIs, each its own individual, responsive card, so tile grids render identically across all subsidiaries and at every screen size.</w:t>
      </w:r>
    </w:p>
    <w:p>
      <w:pPr>
        <w:pStyle w:val="ListParagraph"/>
        <w:numPr>
          <w:ilvl w:val="0"/>
          <w:numId w:val="2"/>
        </w:numPr>
        <w:spacing w:after="80"/>
      </w:pPr>
      <w:r>
        <w:rPr>
          <w:b/>
          <w:bCs/>
          <w:i w:val="false"/>
          <w:iCs w:val="false"/>
        </w:rPr>
        <w:t xml:space="preserve">Explainability and alerting: </w:t>
      </w:r>
      <w:r>
        <w:t xml:space="preserve">an info icon on every KPI tile surfaces its calculation on demand, and a header alerts panel flags KPIs tracking against target — so the dashboard supports trust and monitoring, not just display.</w:t>
      </w:r>
    </w:p>
    <w:p>
      <w:pPr>
        <w:pStyle w:val="ListParagraph"/>
        <w:numPr>
          <w:ilvl w:val="0"/>
          <w:numId w:val="2"/>
        </w:numPr>
        <w:spacing w:after="80"/>
      </w:pPr>
      <w:r>
        <w:rPr>
          <w:b/>
          <w:bCs/>
          <w:i w:val="false"/>
          <w:iCs w:val="false"/>
        </w:rPr>
        <w:t xml:space="preserve">Supporting chrome: </w:t>
      </w:r>
      <w:r>
        <w:t xml:space="preserve">a matching header and footer, a last-refreshed indicator with the dummy-data disclaimer, and an About page documenting the tech stack and standards used.</w:t>
      </w:r>
    </w:p>
    <w:p>
      <w:pPr>
        <w:pStyle w:val="ListParagraph"/>
        <w:numPr>
          <w:ilvl w:val="0"/>
          <w:numId w:val="2"/>
        </w:numPr>
        <w:spacing w:after="80"/>
      </w:pPr>
      <w:r>
        <w:t xml:space="preserve">Dummy data only — generated with Python/pandas and loaded into a shared Postgres schema (Supabase).</w:t>
      </w:r>
    </w:p>
    <w:p>
      <w:pPr>
        <w:pStyle w:val="ListParagraph"/>
        <w:numPr>
          <w:ilvl w:val="0"/>
          <w:numId w:val="2"/>
        </w:numPr>
        <w:spacing w:after="80"/>
      </w:pPr>
      <w:r>
        <w:t xml:space="preserve">A deployed prototype on Vercel, built and released through a GitHub Actions CI/CD pipeline.</w:t>
      </w:r>
    </w:p>
    <w:p>
      <w:pPr>
        <w:pStyle w:val="Heading2"/>
        <w:spacing w:after="100" w:before="220"/>
      </w:pPr>
      <w:r>
        <w:t xml:space="preserve">Out of scope</w:t>
      </w:r>
    </w:p>
    <w:p>
      <w:pPr>
        <w:pStyle w:val="ListParagraph"/>
        <w:numPr>
          <w:ilvl w:val="0"/>
          <w:numId w:val="2"/>
        </w:numPr>
        <w:spacing w:after="80"/>
      </w:pPr>
      <w:r>
        <w:t xml:space="preserve">Real user authentication or authorization — single-user, demo-style access only.</w:t>
      </w:r>
    </w:p>
    <w:p>
      <w:pPr>
        <w:pStyle w:val="ListParagraph"/>
        <w:numPr>
          <w:ilvl w:val="0"/>
          <w:numId w:val="2"/>
        </w:numPr>
        <w:spacing w:after="80"/>
      </w:pPr>
      <w:r>
        <w:t xml:space="preserve">A live or real-time data feed — a static dummy dataset, regenerated on demand.</w:t>
      </w:r>
    </w:p>
    <w:p>
      <w:pPr>
        <w:pStyle w:val="ListParagraph"/>
        <w:numPr>
          <w:ilvl w:val="0"/>
          <w:numId w:val="2"/>
        </w:numPr>
        <w:spacing w:after="80"/>
      </w:pPr>
      <w:r>
        <w:t xml:space="preserve">Production-grade security hardening, and any real customer, financial or personal data.</w:t>
      </w:r>
    </w:p>
    <w:p>
      <w:pPr>
        <w:pStyle w:val="ListParagraph"/>
        <w:numPr>
          <w:ilvl w:val="0"/>
          <w:numId w:val="2"/>
        </w:numPr>
        <w:spacing w:after="80"/>
      </w:pPr>
      <w:r>
        <w:t xml:space="preserve">A native mobile app, multi-tenant access, or role-based permissions.</w:t>
      </w:r>
    </w:p>
    <w:p>
      <w:pPr>
        <w:pStyle w:val="ListParagraph"/>
        <w:numPr>
          <w:ilvl w:val="0"/>
          <w:numId w:val="2"/>
        </w:numPr>
        <w:spacing w:after="80"/>
      </w:pPr>
      <w:r>
        <w:t xml:space="preserve">A full automated end-to-end test suite — structured manual QA only, sized for a two-week prototype.</w:t>
      </w:r>
    </w:p>
    <w:p>
      <w:pPr>
        <w:pStyle w:val="Heading2"/>
        <w:spacing w:after="100" w:before="220"/>
      </w:pPr>
      <w:r>
        <w:t xml:space="preserve">Timeline</w:t>
      </w:r>
    </w:p>
    <w:p>
      <w:pPr>
        <w:pStyle w:val="ListParagraph"/>
        <w:numPr>
          <w:ilvl w:val="0"/>
          <w:numId w:val="2"/>
        </w:numPr>
        <w:spacing w:after="80"/>
      </w:pPr>
      <w:r>
        <w:rPr>
          <w:b/>
          <w:bCs/>
          <w:i w:val="false"/>
          <w:iCs w:val="false"/>
        </w:rPr>
        <w:t xml:space="preserve">Week 7: </w:t>
      </w:r>
      <w:r>
        <w:t xml:space="preserve">Planning, Analysis, Design, Environment &amp; CI/CD setup.</w:t>
      </w:r>
    </w:p>
    <w:p>
      <w:pPr>
        <w:pStyle w:val="ListParagraph"/>
        <w:numPr>
          <w:ilvl w:val="0"/>
          <w:numId w:val="2"/>
        </w:numPr>
        <w:spacing w:after="80"/>
      </w:pPr>
      <w:r>
        <w:rPr>
          <w:b/>
          <w:bCs/>
          <w:i w:val="false"/>
          <w:iCs w:val="false"/>
        </w:rPr>
        <w:t xml:space="preserve">Week 8: </w:t>
      </w:r>
      <w:r>
        <w:t xml:space="preserve">Development, Testing, Deployment, Documentation.</w:t>
      </w:r>
    </w:p>
    <w:p>
      <w:pPr>
        <w:pStyle w:val="Heading2"/>
        <w:spacing w:after="100" w:before="220"/>
      </w:pPr>
      <w:r>
        <w:t xml:space="preserve">Tech stack &amp; governing standards</w:t>
      </w:r>
    </w:p>
    <w:p>
      <w:pPr>
        <w:spacing w:after="110"/>
      </w:pPr>
      <w:r>
        <w:t xml:space="preserve">Next.js on Vercel · Postgres via Supabase · Python + pandas for dummy data · GitHub + GitHub Actions CI/CD to Vercel — feasibility confirmed in the Feasibility Check on the following page. Built against the SDLC Document, Core Design Principles, Clean Coding Practices, and the Software Design Document (SDD) Template already adopted for this project.</w:t>
      </w:r>
    </w:p>
    <w:p>
      <w:r>
        <w:br w:type="page"/>
      </w:r>
    </w:p>
    <w:p>
      <w:pPr>
        <w:pStyle w:val="Heading1"/>
        <w:pBdr>
          <w:bottom w:val="single" w:color="8EA9C1" w:sz="6" w:space="4"/>
        </w:pBdr>
        <w:spacing w:after="140" w:before="300"/>
      </w:pPr>
      <w:r>
        <w:t xml:space="preserve">Supporting Planning Notes</w:t>
      </w:r>
    </w:p>
    <w:p>
      <w:pPr>
        <w:spacing w:after="110"/>
      </w:pPr>
      <w:r>
        <w:t xml:space="preserve">These notes complete the remaining Phase 1 tasks from the Week 7 &amp; 8 Execution Plan — feasibility, risk, and acceptance criteria — and sit behind the one-page Scope Note above. They are not part of the one-page deliverable itself, but feed directly into Analysis (Phase 2) and Testing (Phase 6).</w:t>
      </w:r>
    </w:p>
    <w:p>
      <w:pPr>
        <w:pStyle w:val="Heading2"/>
        <w:spacing w:after="100" w:before="220"/>
      </w:pPr>
      <w:r>
        <w:t xml:space="preserve">Feasibility Check</w:t>
      </w:r>
    </w:p>
    <w:p>
      <w:pPr>
        <w:pStyle w:val="ListParagraph"/>
        <w:numPr>
          <w:ilvl w:val="0"/>
          <w:numId w:val="2"/>
        </w:numPr>
        <w:spacing w:after="80"/>
      </w:pPr>
      <w:r>
        <w:rPr>
          <w:b/>
          <w:bCs/>
          <w:i w:val="false"/>
          <w:iCs w:val="false"/>
        </w:rPr>
        <w:t xml:space="preserve">Technical: </w:t>
      </w:r>
      <w:r>
        <w:t xml:space="preserve">Vercel's free tier comfortably covers prototype traffic; Supabase's free Postgres tier easily holds a dummy dataset of this size; GitHub Actions' free minutes far exceed what a solo two-week project needs for lint + build on every push.</w:t>
      </w:r>
    </w:p>
    <w:p>
      <w:pPr>
        <w:pStyle w:val="ListParagraph"/>
        <w:numPr>
          <w:ilvl w:val="0"/>
          <w:numId w:val="2"/>
        </w:numPr>
        <w:spacing w:after="80"/>
      </w:pPr>
      <w:r>
        <w:rPr>
          <w:b/>
          <w:bCs/>
          <w:i w:val="false"/>
          <w:iCs w:val="false"/>
        </w:rPr>
        <w:t xml:space="preserve">Schedule: </w:t>
      </w:r>
      <w:r>
        <w:t xml:space="preserve">Front-loading the non-coding SDLC phases (Planning, Analysis, Design, Environment) into Week 7 leaves Week 8 free for execution only — realistic for a prototype, not a production system.</w:t>
      </w:r>
    </w:p>
    <w:p>
      <w:pPr>
        <w:pStyle w:val="ListParagraph"/>
        <w:numPr>
          <w:ilvl w:val="0"/>
          <w:numId w:val="2"/>
        </w:numPr>
        <w:spacing w:after="80"/>
      </w:pPr>
      <w:r>
        <w:rPr>
          <w:b/>
          <w:bCs/>
          <w:i w:val="false"/>
          <w:iCs w:val="false"/>
        </w:rPr>
        <w:t xml:space="preserve">Skills: </w:t>
      </w:r>
      <w:r>
        <w:t xml:space="preserve">The chosen stack (Next.js, Postgres, Python) requires no new technology to be learned mid-project.</w:t>
      </w:r>
    </w:p>
    <w:p>
      <w:pPr>
        <w:pStyle w:val="ListParagraph"/>
        <w:numPr>
          <w:ilvl w:val="0"/>
          <w:numId w:val="2"/>
        </w:numPr>
        <w:spacing w:after="80"/>
      </w:pPr>
      <w:r>
        <w:rPr>
          <w:b/>
          <w:bCs/>
          <w:i w:val="false"/>
          <w:iCs w:val="false"/>
        </w:rPr>
        <w:t xml:space="preserve">Data: </w:t>
      </w:r>
      <w:r>
        <w:t xml:space="preserve">Using dummy data only removes privacy/compliance risk entirely — no real customer or financial data is ever in scope.</w:t>
      </w:r>
    </w:p>
    <w:p>
      <w:pPr>
        <w:spacing w:after="110"/>
      </w:pPr>
      <w:r>
        <w:t xml:space="preserve">Conclusion: the project is feasible within the two-week, solo-builder constraint. The main risk is time management across three subsidiaries, not technical feasibility.</w:t>
      </w:r>
    </w:p>
    <w:p>
      <w:pPr>
        <w:pStyle w:val="Heading2"/>
        <w:spacing w:after="100" w:before="220"/>
      </w:pPr>
      <w:r>
        <w:t xml:space="preserve">Risk List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660"/>
      </w:tblGrid>
      <w:tr>
        <w:tc>
          <w:tcPr>
            <w:tcW w:type="dxa" w:w="2600"/>
            <w:shd w:fill="DCE6F1" w:val="clear"/>
            <w:tcMar>
              <w:top w:type="dxa" w:w="90"/>
              <w:left w:type="dxa" w:w="110"/>
              <w:bottom w:type="dxa" w:w="90"/>
              <w:right w:type="dxa" w:w="110"/>
            </w:tcMar>
          </w:tcPr>
          <w:p>
            <w:r>
              <w:rPr>
                <w:b/>
                <w:bCs/>
                <w:color w:val="1F3864"/>
              </w:rPr>
              <w:t xml:space="preserve">Risk</w:t>
            </w:r>
          </w:p>
        </w:tc>
        <w:tc>
          <w:tcPr>
            <w:tcW w:type="dxa" w:w="1500"/>
            <w:shd w:fill="DCE6F1" w:val="clear"/>
            <w:tcMar>
              <w:top w:type="dxa" w:w="90"/>
              <w:left w:type="dxa" w:w="110"/>
              <w:bottom w:type="dxa" w:w="90"/>
              <w:right w:type="dxa" w:w="110"/>
            </w:tcMar>
          </w:tcPr>
          <w:p>
            <w:r>
              <w:rPr>
                <w:b/>
                <w:bCs/>
                <w:color w:val="1F3864"/>
              </w:rPr>
              <w:t xml:space="preserve">Likelihood</w:t>
            </w:r>
          </w:p>
        </w:tc>
        <w:tc>
          <w:tcPr>
            <w:tcW w:type="dxa" w:w="1500"/>
            <w:shd w:fill="DCE6F1" w:val="clear"/>
            <w:tcMar>
              <w:top w:type="dxa" w:w="90"/>
              <w:left w:type="dxa" w:w="110"/>
              <w:bottom w:type="dxa" w:w="90"/>
              <w:right w:type="dxa" w:w="110"/>
            </w:tcMar>
          </w:tcPr>
          <w:p>
            <w:r>
              <w:rPr>
                <w:b/>
                <w:bCs/>
                <w:color w:val="1F3864"/>
              </w:rPr>
              <w:t xml:space="preserve">Impact</w:t>
            </w:r>
          </w:p>
        </w:tc>
        <w:tc>
          <w:tcPr>
            <w:tcW w:type="dxa" w:w="3660"/>
            <w:shd w:fill="DCE6F1" w:val="clear"/>
            <w:tcMar>
              <w:top w:type="dxa" w:w="90"/>
              <w:left w:type="dxa" w:w="110"/>
              <w:bottom w:type="dxa" w:w="90"/>
              <w:right w:type="dxa" w:w="110"/>
            </w:tcMar>
          </w:tcPr>
          <w:p>
            <w:r>
              <w:rPr>
                <w:b/>
                <w:bCs/>
                <w:color w:val="1F3864"/>
              </w:rPr>
              <w:t xml:space="preserve">Mitigation</w:t>
            </w:r>
          </w:p>
        </w:tc>
      </w:tr>
      <w:tr>
        <w:tc>
          <w:tcPr>
            <w:tcW w:type="dxa" w:w="2600"/>
            <w:tcMar>
              <w:top w:type="dxa" w:w="90"/>
              <w:left w:type="dxa" w:w="110"/>
              <w:bottom w:type="dxa" w:w="90"/>
              <w:right w:type="dxa" w:w="110"/>
            </w:tcMar>
          </w:tcPr>
          <w:p>
            <w:r>
              <w:rPr>
                <w:b w:val="false"/>
                <w:bCs w:val="false"/>
              </w:rPr>
              <w:t xml:space="preserve">Schema complexity across 3 business lines</w:t>
            </w:r>
          </w:p>
        </w:tc>
        <w:tc>
          <w:tcPr>
            <w:tcW w:type="dxa" w:w="1500"/>
            <w:tcMar>
              <w:top w:type="dxa" w:w="90"/>
              <w:left w:type="dxa" w:w="110"/>
              <w:bottom w:type="dxa" w:w="90"/>
              <w:right w:type="dxa" w:w="110"/>
            </w:tcMar>
          </w:tcPr>
          <w:p>
            <w:r>
              <w:rPr>
                <w:b w:val="false"/>
                <w:bCs w:val="false"/>
                <w:color w:val="A15C00"/>
              </w:rPr>
              <w:t xml:space="preserve">Medium</w:t>
            </w:r>
          </w:p>
        </w:tc>
        <w:tc>
          <w:tcPr>
            <w:tcW w:type="dxa" w:w="1500"/>
            <w:tcMar>
              <w:top w:type="dxa" w:w="90"/>
              <w:left w:type="dxa" w:w="110"/>
              <w:bottom w:type="dxa" w:w="90"/>
              <w:right w:type="dxa" w:w="110"/>
            </w:tcMar>
          </w:tcPr>
          <w:p>
            <w:r>
              <w:rPr>
                <w:b w:val="false"/>
                <w:bCs w:val="false"/>
                <w:color w:val="A15C00"/>
              </w:rPr>
              <w:t xml:space="preserve">Medium</w:t>
            </w:r>
          </w:p>
        </w:tc>
        <w:tc>
          <w:tcPr>
            <w:tcW w:type="dxa" w:w="3660"/>
            <w:tcMar>
              <w:top w:type="dxa" w:w="90"/>
              <w:left w:type="dxa" w:w="110"/>
              <w:bottom w:type="dxa" w:w="90"/>
              <w:right w:type="dxa" w:w="110"/>
            </w:tcMar>
          </w:tcPr>
          <w:p>
            <w:r>
              <w:rPr>
                <w:b w:val="false"/>
                <w:bCs w:val="false"/>
              </w:rPr>
              <w:t xml:space="preserve">Single shared schema with a subsidiary field, decided and recorded as an ADR in Phase 3 (Design).</w:t>
            </w:r>
          </w:p>
        </w:tc>
      </w:tr>
      <w:tr>
        <w:tc>
          <w:tcPr>
            <w:tcW w:type="dxa" w:w="2600"/>
            <w:tcMar>
              <w:top w:type="dxa" w:w="90"/>
              <w:left w:type="dxa" w:w="110"/>
              <w:bottom w:type="dxa" w:w="90"/>
              <w:right w:type="dxa" w:w="110"/>
            </w:tcMar>
          </w:tcPr>
          <w:p>
            <w:r>
              <w:rPr>
                <w:b w:val="false"/>
                <w:bCs w:val="false"/>
              </w:rPr>
              <w:t xml:space="preserve">Frontend polish crowds out functional coverage</w:t>
            </w:r>
          </w:p>
        </w:tc>
        <w:tc>
          <w:tcPr>
            <w:tcW w:type="dxa" w:w="1500"/>
            <w:tcMar>
              <w:top w:type="dxa" w:w="90"/>
              <w:left w:type="dxa" w:w="110"/>
              <w:bottom w:type="dxa" w:w="90"/>
              <w:right w:type="dxa" w:w="110"/>
            </w:tcMar>
          </w:tcPr>
          <w:p>
            <w:r>
              <w:rPr>
                <w:b w:val="false"/>
                <w:bCs w:val="false"/>
                <w:color w:val="A15C00"/>
              </w:rPr>
              <w:t xml:space="preserve">Medium</w:t>
            </w:r>
          </w:p>
        </w:tc>
        <w:tc>
          <w:tcPr>
            <w:tcW w:type="dxa" w:w="1500"/>
            <w:tcMar>
              <w:top w:type="dxa" w:w="90"/>
              <w:left w:type="dxa" w:w="110"/>
              <w:bottom w:type="dxa" w:w="90"/>
              <w:right w:type="dxa" w:w="110"/>
            </w:tcMar>
          </w:tcPr>
          <w:p>
            <w:r>
              <w:rPr>
                <w:b w:val="false"/>
                <w:bCs w:val="false"/>
                <w:color w:val="B3261E"/>
              </w:rPr>
              <w:t xml:space="preserve">High</w:t>
            </w:r>
          </w:p>
        </w:tc>
        <w:tc>
          <w:tcPr>
            <w:tcW w:type="dxa" w:w="3660"/>
            <w:tcMar>
              <w:top w:type="dxa" w:w="90"/>
              <w:left w:type="dxa" w:w="110"/>
              <w:bottom w:type="dxa" w:w="90"/>
              <w:right w:type="dxa" w:w="110"/>
            </w:tcMar>
          </w:tcPr>
          <w:p>
            <w:r>
              <w:rPr>
                <w:b w:val="false"/>
                <w:bCs w:val="false"/>
              </w:rPr>
              <w:t xml:space="preserve">Timebox UI polish; prioritize all three subsidiary views working correctly over one view looking finished.</w:t>
            </w:r>
          </w:p>
        </w:tc>
      </w:tr>
      <w:tr>
        <w:tc>
          <w:tcPr>
            <w:tcW w:type="dxa" w:w="2600"/>
            <w:tcMar>
              <w:top w:type="dxa" w:w="90"/>
              <w:left w:type="dxa" w:w="110"/>
              <w:bottom w:type="dxa" w:w="90"/>
              <w:right w:type="dxa" w:w="110"/>
            </w:tcMar>
          </w:tcPr>
          <w:p>
            <w:r>
              <w:rPr>
                <w:b w:val="false"/>
                <w:bCs w:val="false"/>
              </w:rPr>
              <w:t xml:space="preserve">Dummy data looks unrealistic and undersells the KPIs</w:t>
            </w:r>
          </w:p>
        </w:tc>
        <w:tc>
          <w:tcPr>
            <w:tcW w:type="dxa" w:w="1500"/>
            <w:tcMar>
              <w:top w:type="dxa" w:w="90"/>
              <w:left w:type="dxa" w:w="110"/>
              <w:bottom w:type="dxa" w:w="90"/>
              <w:right w:type="dxa" w:w="110"/>
            </w:tcMar>
          </w:tcPr>
          <w:p>
            <w:r>
              <w:rPr>
                <w:b w:val="false"/>
                <w:bCs w:val="false"/>
                <w:color w:val="1E7B34"/>
              </w:rPr>
              <w:t xml:space="preserve">Low</w:t>
            </w:r>
          </w:p>
        </w:tc>
        <w:tc>
          <w:tcPr>
            <w:tcW w:type="dxa" w:w="1500"/>
            <w:tcMar>
              <w:top w:type="dxa" w:w="90"/>
              <w:left w:type="dxa" w:w="110"/>
              <w:bottom w:type="dxa" w:w="90"/>
              <w:right w:type="dxa" w:w="110"/>
            </w:tcMar>
          </w:tcPr>
          <w:p>
            <w:r>
              <w:rPr>
                <w:b w:val="false"/>
                <w:bCs w:val="false"/>
                <w:color w:val="A15C00"/>
              </w:rPr>
              <w:t xml:space="preserve">Medium</w:t>
            </w:r>
          </w:p>
        </w:tc>
        <w:tc>
          <w:tcPr>
            <w:tcW w:type="dxa" w:w="3660"/>
            <w:tcMar>
              <w:top w:type="dxa" w:w="90"/>
              <w:left w:type="dxa" w:w="110"/>
              <w:bottom w:type="dxa" w:w="90"/>
              <w:right w:type="dxa" w:w="110"/>
            </w:tcMar>
          </w:tcPr>
          <w:p>
            <w:r>
              <w:rPr>
                <w:b w:val="false"/>
                <w:bCs w:val="false"/>
              </w:rPr>
              <w:t xml:space="preserve">Generate data with pandas plus a fake-data library using sensible ranges per subsidiary; sanity-check distributions before loading.</w:t>
            </w:r>
          </w:p>
        </w:tc>
      </w:tr>
      <w:tr>
        <w:tc>
          <w:tcPr>
            <w:tcW w:type="dxa" w:w="2600"/>
            <w:tcMar>
              <w:top w:type="dxa" w:w="90"/>
              <w:left w:type="dxa" w:w="110"/>
              <w:bottom w:type="dxa" w:w="90"/>
              <w:right w:type="dxa" w:w="110"/>
            </w:tcMar>
          </w:tcPr>
          <w:p>
            <w:r>
              <w:rPr>
                <w:b w:val="false"/>
                <w:bCs w:val="false"/>
              </w:rPr>
              <w:t xml:space="preserve">Solo builder is a single point of failure on schedule</w:t>
            </w:r>
          </w:p>
        </w:tc>
        <w:tc>
          <w:tcPr>
            <w:tcW w:type="dxa" w:w="1500"/>
            <w:tcMar>
              <w:top w:type="dxa" w:w="90"/>
              <w:left w:type="dxa" w:w="110"/>
              <w:bottom w:type="dxa" w:w="90"/>
              <w:right w:type="dxa" w:w="110"/>
            </w:tcMar>
          </w:tcPr>
          <w:p>
            <w:r>
              <w:rPr>
                <w:b w:val="false"/>
                <w:bCs w:val="false"/>
                <w:color w:val="A15C00"/>
              </w:rPr>
              <w:t xml:space="preserve">Medium</w:t>
            </w:r>
          </w:p>
        </w:tc>
        <w:tc>
          <w:tcPr>
            <w:tcW w:type="dxa" w:w="1500"/>
            <w:tcMar>
              <w:top w:type="dxa" w:w="90"/>
              <w:left w:type="dxa" w:w="110"/>
              <w:bottom w:type="dxa" w:w="90"/>
              <w:right w:type="dxa" w:w="110"/>
            </w:tcMar>
          </w:tcPr>
          <w:p>
            <w:r>
              <w:rPr>
                <w:b w:val="false"/>
                <w:bCs w:val="false"/>
                <w:color w:val="A15C00"/>
              </w:rPr>
              <w:t xml:space="preserve">Medium</w:t>
            </w:r>
          </w:p>
        </w:tc>
        <w:tc>
          <w:tcPr>
            <w:tcW w:type="dxa" w:w="3660"/>
            <w:tcMar>
              <w:top w:type="dxa" w:w="90"/>
              <w:left w:type="dxa" w:w="110"/>
              <w:bottom w:type="dxa" w:w="90"/>
              <w:right w:type="dxa" w:w="110"/>
            </w:tcMar>
          </w:tcPr>
          <w:p>
            <w:r>
              <w:rPr>
                <w:b w:val="false"/>
                <w:bCs w:val="false"/>
              </w:rPr>
              <w:t xml:space="preserve">Week 7 is planning/design only, so no design decisions are deferred into Week 8's execution time.</w:t>
            </w:r>
          </w:p>
        </w:tc>
      </w:tr>
      <w:tr>
        <w:tc>
          <w:tcPr>
            <w:tcW w:type="dxa" w:w="2600"/>
            <w:tcMar>
              <w:top w:type="dxa" w:w="90"/>
              <w:left w:type="dxa" w:w="110"/>
              <w:bottom w:type="dxa" w:w="90"/>
              <w:right w:type="dxa" w:w="110"/>
            </w:tcMar>
          </w:tcPr>
          <w:p>
            <w:r>
              <w:rPr>
                <w:b w:val="false"/>
                <w:bCs w:val="false"/>
              </w:rPr>
              <w:t xml:space="preserve">CI/CD misconfiguration blocks deployment late</w:t>
            </w:r>
          </w:p>
        </w:tc>
        <w:tc>
          <w:tcPr>
            <w:tcW w:type="dxa" w:w="1500"/>
            <w:tcMar>
              <w:top w:type="dxa" w:w="90"/>
              <w:left w:type="dxa" w:w="110"/>
              <w:bottom w:type="dxa" w:w="90"/>
              <w:right w:type="dxa" w:w="110"/>
            </w:tcMar>
          </w:tcPr>
          <w:p>
            <w:r>
              <w:rPr>
                <w:b w:val="false"/>
                <w:bCs w:val="false"/>
                <w:color w:val="1E7B34"/>
              </w:rPr>
              <w:t xml:space="preserve">Low</w:t>
            </w:r>
          </w:p>
        </w:tc>
        <w:tc>
          <w:tcPr>
            <w:tcW w:type="dxa" w:w="1500"/>
            <w:tcMar>
              <w:top w:type="dxa" w:w="90"/>
              <w:left w:type="dxa" w:w="110"/>
              <w:bottom w:type="dxa" w:w="90"/>
              <w:right w:type="dxa" w:w="110"/>
            </w:tcMar>
          </w:tcPr>
          <w:p>
            <w:r>
              <w:rPr>
                <w:b w:val="false"/>
                <w:bCs w:val="false"/>
                <w:color w:val="B3261E"/>
              </w:rPr>
              <w:t xml:space="preserve">High</w:t>
            </w:r>
          </w:p>
        </w:tc>
        <w:tc>
          <w:tcPr>
            <w:tcW w:type="dxa" w:w="3660"/>
            <w:tcMar>
              <w:top w:type="dxa" w:w="90"/>
              <w:left w:type="dxa" w:w="110"/>
              <w:bottom w:type="dxa" w:w="90"/>
              <w:right w:type="dxa" w:w="110"/>
            </w:tcMar>
          </w:tcPr>
          <w:p>
            <w:r>
              <w:rPr>
                <w:b w:val="false"/>
                <w:bCs w:val="false"/>
              </w:rPr>
              <w:t xml:space="preserve">Stand up and verify the CI/CD pipeline in Week 7 (Phase 4), proven before any feature code is written.</w:t>
            </w:r>
          </w:p>
        </w:tc>
      </w:tr>
    </w:tbl>
    <w:p>
      <w:pPr>
        <w:spacing w:after="200"/>
      </w:pPr>
    </w:p>
    <w:p>
      <w:pPr>
        <w:pStyle w:val="Heading2"/>
        <w:spacing w:after="100" w:before="220"/>
      </w:pPr>
      <w:r>
        <w:t xml:space="preserve">"Done" Acceptance Criteria for Week 8</w:t>
      </w:r>
    </w:p>
    <w:p>
      <w:pPr>
        <w:spacing w:after="110"/>
      </w:pPr>
      <w:r>
        <w:t xml:space="preserve">This is the basis for the Testing phase's structured manual QA pass — a build is considered done when:</w:t>
      </w:r>
    </w:p>
    <w:p>
      <w:pPr>
        <w:pStyle w:val="ListParagraph"/>
        <w:numPr>
          <w:ilvl w:val="0"/>
          <w:numId w:val="2"/>
        </w:numPr>
        <w:spacing w:after="80"/>
      </w:pPr>
      <w:r>
        <w:t xml:space="preserve">All three subsidiary views render their defined KPIs from live Supabase data — no hard-coded placeholder numbers.</w:t>
      </w:r>
    </w:p>
    <w:p>
      <w:pPr>
        <w:pStyle w:val="ListParagraph"/>
        <w:numPr>
          <w:ilvl w:val="0"/>
          <w:numId w:val="2"/>
        </w:numPr>
        <w:spacing w:after="80"/>
      </w:pPr>
      <w:r>
        <w:t xml:space="preserve">The subsidiary selector correctly switches context across the whole dashboard.</w:t>
      </w:r>
    </w:p>
    <w:p>
      <w:pPr>
        <w:pStyle w:val="ListParagraph"/>
        <w:numPr>
          <w:ilvl w:val="0"/>
          <w:numId w:val="2"/>
        </w:numPr>
        <w:spacing w:after="80"/>
      </w:pPr>
      <w:r>
        <w:t xml:space="preserve">The Group Comparison View shows all three subsidiaries individually, how they connect, and a combined Group Scorecard.</w:t>
      </w:r>
    </w:p>
    <w:p>
      <w:pPr>
        <w:pStyle w:val="ListParagraph"/>
        <w:numPr>
          <w:ilvl w:val="0"/>
          <w:numId w:val="2"/>
        </w:numPr>
        <w:spacing w:after="80"/>
      </w:pPr>
      <w:r>
        <w:t xml:space="preserve">Every named edge case is handled without crashing: no data for a filter, a loan with no repayments yet, a pension scheme with no contributions this period.</w:t>
      </w:r>
    </w:p>
    <w:p>
      <w:pPr>
        <w:pStyle w:val="ListParagraph"/>
        <w:numPr>
          <w:ilvl w:val="0"/>
          <w:numId w:val="2"/>
        </w:numPr>
        <w:spacing w:after="80"/>
      </w:pPr>
      <w:r>
        <w:t xml:space="preserve">The CI pipeline (lint + build) is green on the final merge to main.</w:t>
      </w:r>
    </w:p>
    <w:p>
      <w:pPr>
        <w:pStyle w:val="ListParagraph"/>
        <w:numPr>
          <w:ilvl w:val="0"/>
          <w:numId w:val="2"/>
        </w:numPr>
        <w:spacing w:after="80"/>
      </w:pPr>
      <w:r>
        <w:t xml:space="preserve">The hosted Vercel deployment matches what was tested locally.</w:t>
      </w:r>
    </w:p>
    <w:p>
      <w:pPr>
        <w:pStyle w:val="ListParagraph"/>
        <w:numPr>
          <w:ilvl w:val="0"/>
          <w:numId w:val="2"/>
        </w:numPr>
        <w:spacing w:after="80"/>
      </w:pPr>
      <w:r>
        <w:t xml:space="preserve">The SDD, its ADR, and the 1-page design/architecture brief are complete and consistent with what was actually built.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Phase 1 — Planning | CPF Group Analytics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lvl w:ilvl="1" w:tentative="1">
      <w:start w:val="1"/>
      <w:numFmt w:val="bullet"/>
      <w:lvlText w:val="–"/>
      <w:lvlJc w:val="left"/>
      <w:pPr>
        <w:ind w:left="1008" w:hanging="288"/>
      </w:pPr>
    </w:lvl>
  </w:abstractNum>
  <w:abstractNum w:abstractNumId="3" w15:restartNumberingAfterBreak="0">
    <w:multiLevelType w:val="hybridMultilevel"/>
    <w:lvl w:ilvl="0" w: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2026-10-02T09:26:11.682Z</dcterms:created>
  <dcterms:modified xsi:type="dcterms:W3CDTF">2026-10-02T09:26:11.683Z</dcterms:modified>
</cp:coreProperties>
</file>

<file path=docProps/custom.xml><?xml version="1.0" encoding="utf-8"?>
<Properties xmlns="http://schemas.openxmlformats.org/officeDocument/2006/custom-properties" xmlns:vt="http://schemas.openxmlformats.org/officeDocument/2006/docPropsVTypes"/>
</file>