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400"/>
        <w:jc w:val="center"/>
      </w:pPr>
      <w:r>
        <w:rPr>
          <w:b/>
          <w:bCs/>
          <w:color w:val="1F3864"/>
          <w:sz w:val="44"/>
          <w:szCs w:val="44"/>
        </w:rPr>
        <w:t xml:space="preserve">Week 7 &amp; 8 Execution Plan</w:t>
      </w:r>
    </w:p>
    <w:p>
      <w:pPr>
        <w:spacing w:after="40"/>
        <w:jc w:val="center"/>
      </w:pPr>
      <w:r>
        <w:rPr>
          <w:color w:val="2E5A88"/>
          <w:sz w:val="30"/>
          <w:szCs w:val="30"/>
        </w:rPr>
        <w:t xml:space="preserve">Dashboard &amp; Data Product Build</w:t>
      </w:r>
    </w:p>
    <w:p>
      <w:pPr>
        <w:spacing w:after="300"/>
        <w:jc w:val="center"/>
      </w:pPr>
      <w:r>
        <w:rPr>
          <w:i/>
          <w:iCs/>
          <w:sz w:val="22"/>
          <w:szCs w:val="22"/>
        </w:rPr>
        <w:t xml:space="preserve">CPF Group Multi-Subsidiary Analytics Dashboard — Planning Through Documentation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shd w:fill="DCE6F1" w:val="clear"/>
            <w:tcMar>
              <w:top w:type="dxa" w:w="100"/>
              <w:left w:type="dxa" w:w="120"/>
              <w:bottom w:type="dxa" w:w="100"/>
              <w:right w:type="dxa" w:w="120"/>
            </w:tcMar>
          </w:tcPr>
          <w:p>
            <w:r>
              <w:rPr>
                <w:b/>
                <w:bCs/>
                <w:color w:val="1F3864"/>
              </w:rPr>
              <w:t xml:space="preserve">Field</w:t>
            </w:r>
          </w:p>
        </w:tc>
        <w:tc>
          <w:tcPr>
            <w:tcW w:type="dxa" w:w="6760"/>
            <w:shd w:fill="DCE6F1" w:val="clear"/>
            <w:tcMar>
              <w:top w:type="dxa" w:w="100"/>
              <w:left w:type="dxa" w:w="120"/>
              <w:bottom w:type="dxa" w:w="100"/>
              <w:right w:type="dxa" w:w="120"/>
            </w:tcMar>
          </w:tcPr>
          <w:p>
            <w:r>
              <w:rPr>
                <w:b/>
                <w:bCs/>
                <w:color w:val="1F3864"/>
              </w:rPr>
              <w:t xml:space="preserve">Detail</w:t>
            </w:r>
          </w:p>
        </w:tc>
      </w:tr>
      <w:tr>
        <w:tc>
          <w:tcPr>
            <w:tcW w:type="dxa" w:w="2600"/>
            <w:tcMar>
              <w:top w:type="dxa" w:w="100"/>
              <w:left w:type="dxa" w:w="120"/>
              <w:bottom w:type="dxa" w:w="100"/>
              <w:right w:type="dxa" w:w="120"/>
            </w:tcMar>
          </w:tcPr>
          <w:p>
            <w:r>
              <w:rPr>
                <w:b w:val="false"/>
                <w:bCs w:val="false"/>
              </w:rPr>
              <w:t xml:space="preserve">Prepared by</w:t>
            </w:r>
          </w:p>
        </w:tc>
        <w:tc>
          <w:tcPr>
            <w:tcW w:type="dxa" w:w="6760"/>
            <w:tcMar>
              <w:top w:type="dxa" w:w="100"/>
              <w:left w:type="dxa" w:w="120"/>
              <w:bottom w:type="dxa" w:w="100"/>
              <w:right w:type="dxa" w:w="120"/>
            </w:tcMar>
          </w:tcPr>
          <w:p>
            <w:r>
              <w:rPr>
                <w:b w:val="false"/>
                <w:bCs w:val="false"/>
              </w:rPr>
              <w:t xml:space="preserve">Vincent Onchieku Collins</w:t>
            </w:r>
          </w:p>
        </w:tc>
      </w:tr>
      <w:tr>
        <w:tc>
          <w:tcPr>
            <w:tcW w:type="dxa" w:w="2600"/>
            <w:tcMar>
              <w:top w:type="dxa" w:w="100"/>
              <w:left w:type="dxa" w:w="120"/>
              <w:bottom w:type="dxa" w:w="100"/>
              <w:right w:type="dxa" w:w="120"/>
            </w:tcMar>
          </w:tcPr>
          <w:p>
            <w:r>
              <w:rPr>
                <w:b w:val="false"/>
                <w:bCs w:val="false"/>
              </w:rPr>
              <w:t xml:space="preserve">Document Version</w:t>
            </w:r>
          </w:p>
        </w:tc>
        <w:tc>
          <w:tcPr>
            <w:tcW w:type="dxa" w:w="6760"/>
            <w:tcMar>
              <w:top w:type="dxa" w:w="100"/>
              <w:left w:type="dxa" w:w="120"/>
              <w:bottom w:type="dxa" w:w="100"/>
              <w:right w:type="dxa" w:w="120"/>
            </w:tcMar>
          </w:tcPr>
          <w:p>
            <w:r>
              <w:rPr>
                <w:b w:val="false"/>
                <w:bCs w:val="false"/>
              </w:rPr>
              <w:t xml:space="preserve">1.0</w:t>
            </w:r>
          </w:p>
        </w:tc>
      </w:tr>
      <w:tr>
        <w:tc>
          <w:tcPr>
            <w:tcW w:type="dxa" w:w="2600"/>
            <w:tcMar>
              <w:top w:type="dxa" w:w="100"/>
              <w:left w:type="dxa" w:w="120"/>
              <w:bottom w:type="dxa" w:w="100"/>
              <w:right w:type="dxa" w:w="120"/>
            </w:tcMar>
          </w:tcPr>
          <w:p>
            <w:r>
              <w:rPr>
                <w:b w:val="false"/>
                <w:bCs w:val="false"/>
              </w:rPr>
              <w:t xml:space="preserve">Status</w:t>
            </w:r>
          </w:p>
        </w:tc>
        <w:tc>
          <w:tcPr>
            <w:tcW w:type="dxa" w:w="6760"/>
            <w:tcMar>
              <w:top w:type="dxa" w:w="100"/>
              <w:left w:type="dxa" w:w="120"/>
              <w:bottom w:type="dxa" w:w="100"/>
              <w:right w:type="dxa" w:w="120"/>
            </w:tcMar>
          </w:tcPr>
          <w:p>
            <w:r>
              <w:rPr>
                <w:b w:val="false"/>
                <w:bCs w:val="false"/>
              </w:rPr>
              <w:t xml:space="preserve">Draft — execution plan for build</w:t>
            </w:r>
          </w:p>
        </w:tc>
      </w:tr>
      <w:tr>
        <w:tc>
          <w:tcPr>
            <w:tcW w:type="dxa" w:w="2600"/>
            <w:tcMar>
              <w:top w:type="dxa" w:w="100"/>
              <w:left w:type="dxa" w:w="120"/>
              <w:bottom w:type="dxa" w:w="100"/>
              <w:right w:type="dxa" w:w="120"/>
            </w:tcMar>
          </w:tcPr>
          <w:p>
            <w:r>
              <w:rPr>
                <w:b w:val="false"/>
                <w:bCs w:val="false"/>
              </w:rPr>
              <w:t xml:space="preserve">Governing references</w:t>
            </w:r>
          </w:p>
        </w:tc>
        <w:tc>
          <w:tcPr>
            <w:tcW w:type="dxa" w:w="6760"/>
            <w:tcMar>
              <w:top w:type="dxa" w:w="100"/>
              <w:left w:type="dxa" w:w="120"/>
              <w:bottom w:type="dxa" w:w="100"/>
              <w:right w:type="dxa" w:w="120"/>
            </w:tcMar>
          </w:tcPr>
          <w:p>
            <w:r>
              <w:rPr>
                <w:b w:val="false"/>
                <w:bCs w:val="false"/>
              </w:rPr>
              <w:t xml:space="preserve">wk 7 - Dashboard &amp; Data Product Build.pdf; Week 7 &amp; 8 Workplan.pdf; SDLC Document.pdf; Core Design Principles.pdf; Clean Coding Practices.pdf; Software Design Document (SDD) Template.pdf</w:t>
            </w:r>
          </w:p>
        </w:tc>
      </w:tr>
    </w:tbl>
    <w:p>
      <w:pPr>
        <w:spacing w:after="80" w:before="260"/>
      </w:pPr>
    </w:p>
    <w:p>
      <w:pPr>
        <w:pBdr>
          <w:top w:val="single" w:color="8EA9C1" w:sz="4" w:space="8"/>
          <w:left w:val="single" w:color="8EA9C1" w:sz="4" w:space="8"/>
          <w:bottom w:val="single" w:color="8EA9C1" w:sz="4" w:space="8"/>
          <w:right w:val="single" w:color="8EA9C1" w:sz="4" w:space="8"/>
        </w:pBdr>
        <w:shd w:fill="F2F6FA" w:val="clear"/>
        <w:spacing w:after="300"/>
      </w:pPr>
      <w:r>
        <w:rPr>
          <w:i/>
          <w:iCs/>
        </w:rPr>
        <w:t xml:space="preserve">This plan operationalizes the Week 7 &amp; 8 Workplan against the Week 6 Dashboard &amp; Data Product Build brief, using the SDLC Document, Core Design Principles, Clean Coding Practices, and the Software Design Document (SDD) Template as the governing references for every phase below. Each phase states its SDLC alignment, concrete tasks, deliverables, and exactly which design and clean-code principles apply and where.</w:t>
      </w:r>
    </w:p>
    <w:p>
      <w:pPr>
        <w:pStyle w:val="Heading1"/>
        <w:pBdr>
          <w:bottom w:val="single" w:color="8EA9C1" w:sz="6" w:space="4"/>
        </w:pBdr>
        <w:spacing w:after="160" w:before="360"/>
      </w:pPr>
      <w:r>
        <w:t xml:space="preserve">Source Document Cross-Reference 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shd w:fill="DCE6F1" w:val="clear"/>
            <w:tcMar>
              <w:top w:type="dxa" w:w="100"/>
              <w:left w:type="dxa" w:w="120"/>
              <w:bottom w:type="dxa" w:w="100"/>
              <w:right w:type="dxa" w:w="120"/>
            </w:tcMar>
          </w:tcPr>
          <w:p>
            <w:r>
              <w:rPr>
                <w:b/>
                <w:bCs/>
                <w:color w:val="1F3864"/>
              </w:rPr>
              <w:t xml:space="preserve">Source file</w:t>
            </w:r>
          </w:p>
        </w:tc>
        <w:tc>
          <w:tcPr>
            <w:tcW w:type="dxa" w:w="6560"/>
            <w:shd w:fill="DCE6F1" w:val="clear"/>
            <w:tcMar>
              <w:top w:type="dxa" w:w="100"/>
              <w:left w:type="dxa" w:w="120"/>
              <w:bottom w:type="dxa" w:w="100"/>
              <w:right w:type="dxa" w:w="120"/>
            </w:tcMar>
          </w:tcPr>
          <w:p>
            <w:r>
              <w:rPr>
                <w:b/>
                <w:bCs/>
                <w:color w:val="1F3864"/>
              </w:rPr>
              <w:t xml:space="preserve">Role in this plan</w:t>
            </w:r>
          </w:p>
        </w:tc>
      </w:tr>
      <w:tr>
        <w:tc>
          <w:tcPr>
            <w:tcW w:type="dxa" w:w="2800"/>
            <w:tcMar>
              <w:top w:type="dxa" w:w="100"/>
              <w:left w:type="dxa" w:w="120"/>
              <w:bottom w:type="dxa" w:w="100"/>
              <w:right w:type="dxa" w:w="120"/>
            </w:tcMar>
          </w:tcPr>
          <w:p>
            <w:r>
              <w:rPr>
                <w:b w:val="false"/>
                <w:bCs w:val="false"/>
              </w:rPr>
              <w:t xml:space="preserve">wk 7 - Dashboard &amp; Data Product Build.pdf</w:t>
            </w:r>
          </w:p>
        </w:tc>
        <w:tc>
          <w:tcPr>
            <w:tcW w:type="dxa" w:w="6560"/>
            <w:tcMar>
              <w:top w:type="dxa" w:w="100"/>
              <w:left w:type="dxa" w:w="120"/>
              <w:bottom w:type="dxa" w:w="100"/>
              <w:right w:type="dxa" w:w="120"/>
            </w:tcMar>
          </w:tcPr>
          <w:p>
            <w:r>
              <w:rPr>
                <w:b w:val="false"/>
                <w:bCs w:val="false"/>
              </w:rPr>
              <w:t xml:space="preserve">The assignment brief — defines the final deliverable (functional draft dashboard + 1-page design/architecture brief) that every phase below builds toward.</w:t>
            </w:r>
          </w:p>
        </w:tc>
      </w:tr>
      <w:tr>
        <w:tc>
          <w:tcPr>
            <w:tcW w:type="dxa" w:w="2800"/>
            <w:tcMar>
              <w:top w:type="dxa" w:w="100"/>
              <w:left w:type="dxa" w:w="120"/>
              <w:bottom w:type="dxa" w:w="100"/>
              <w:right w:type="dxa" w:w="120"/>
            </w:tcMar>
          </w:tcPr>
          <w:p>
            <w:r>
              <w:rPr>
                <w:b w:val="false"/>
                <w:bCs w:val="false"/>
              </w:rPr>
              <w:t xml:space="preserve">Week 7 &amp; 8 Workplan.pdf</w:t>
            </w:r>
          </w:p>
        </w:tc>
        <w:tc>
          <w:tcPr>
            <w:tcW w:type="dxa" w:w="6560"/>
            <w:tcMar>
              <w:top w:type="dxa" w:w="100"/>
              <w:left w:type="dxa" w:w="120"/>
              <w:bottom w:type="dxa" w:w="100"/>
              <w:right w:type="dxa" w:w="120"/>
            </w:tcMar>
          </w:tcPr>
          <w:p>
            <w:r>
              <w:rPr>
                <w:b w:val="false"/>
                <w:bCs w:val="false"/>
              </w:rPr>
              <w:t xml:space="preserve">The subsidiary scope (Rukisha, CPF Financial Services, CPF Capital &amp; Advisory), tech stack, and week-by-week phase list this plan expands.</w:t>
            </w:r>
          </w:p>
        </w:tc>
      </w:tr>
      <w:tr>
        <w:tc>
          <w:tcPr>
            <w:tcW w:type="dxa" w:w="2800"/>
            <w:tcMar>
              <w:top w:type="dxa" w:w="100"/>
              <w:left w:type="dxa" w:w="120"/>
              <w:bottom w:type="dxa" w:w="100"/>
              <w:right w:type="dxa" w:w="120"/>
            </w:tcMar>
          </w:tcPr>
          <w:p>
            <w:r>
              <w:rPr>
                <w:b w:val="false"/>
                <w:bCs w:val="false"/>
              </w:rPr>
              <w:t xml:space="preserve">SDLC Document.pdf</w:t>
            </w:r>
          </w:p>
        </w:tc>
        <w:tc>
          <w:tcPr>
            <w:tcW w:type="dxa" w:w="6560"/>
            <w:tcMar>
              <w:top w:type="dxa" w:w="100"/>
              <w:left w:type="dxa" w:w="120"/>
              <w:bottom w:type="dxa" w:w="100"/>
              <w:right w:type="dxa" w:w="120"/>
            </w:tcMar>
          </w:tcPr>
          <w:p>
            <w:r>
              <w:rPr>
                <w:b w:val="false"/>
                <w:bCs w:val="false"/>
              </w:rPr>
              <w:t xml:space="preserve">Supplies the 7-phase SDLC (Planning, Analysis, Design, Coding, Testing, Deployment, Maintenance) that the 8 workplan phases are mapped against.</w:t>
            </w:r>
          </w:p>
        </w:tc>
      </w:tr>
      <w:tr>
        <w:tc>
          <w:tcPr>
            <w:tcW w:type="dxa" w:w="2800"/>
            <w:tcMar>
              <w:top w:type="dxa" w:w="100"/>
              <w:left w:type="dxa" w:w="120"/>
              <w:bottom w:type="dxa" w:w="100"/>
              <w:right w:type="dxa" w:w="120"/>
            </w:tcMar>
          </w:tcPr>
          <w:p>
            <w:r>
              <w:rPr>
                <w:b w:val="false"/>
                <w:bCs w:val="false"/>
              </w:rPr>
              <w:t xml:space="preserve">Core Design Principles.pdf</w:t>
            </w:r>
          </w:p>
        </w:tc>
        <w:tc>
          <w:tcPr>
            <w:tcW w:type="dxa" w:w="6560"/>
            <w:tcMar>
              <w:top w:type="dxa" w:w="100"/>
              <w:left w:type="dxa" w:w="120"/>
              <w:bottom w:type="dxa" w:w="100"/>
              <w:right w:type="dxa" w:w="120"/>
            </w:tcMar>
          </w:tcPr>
          <w:p>
            <w:r>
              <w:rPr>
                <w:b w:val="false"/>
                <w:bCs w:val="false"/>
              </w:rPr>
              <w:t xml:space="preserve">Supplies architectural/structural principles (separation of concerns, modularity, layered architecture, testability, design patterns, documentation-as-design) applied mainly in Design and Development.</w:t>
            </w:r>
          </w:p>
        </w:tc>
      </w:tr>
      <w:tr>
        <w:tc>
          <w:tcPr>
            <w:tcW w:type="dxa" w:w="2800"/>
            <w:tcMar>
              <w:top w:type="dxa" w:w="100"/>
              <w:left w:type="dxa" w:w="120"/>
              <w:bottom w:type="dxa" w:w="100"/>
              <w:right w:type="dxa" w:w="120"/>
            </w:tcMar>
          </w:tcPr>
          <w:p>
            <w:r>
              <w:rPr>
                <w:b w:val="false"/>
                <w:bCs w:val="false"/>
              </w:rPr>
              <w:t xml:space="preserve">Clean Coding Practices.pdf</w:t>
            </w:r>
          </w:p>
        </w:tc>
        <w:tc>
          <w:tcPr>
            <w:tcW w:type="dxa" w:w="6560"/>
            <w:tcMar>
              <w:top w:type="dxa" w:w="100"/>
              <w:left w:type="dxa" w:w="120"/>
              <w:bottom w:type="dxa" w:w="100"/>
              <w:right w:type="dxa" w:w="120"/>
            </w:tcMar>
          </w:tcPr>
          <w:p>
            <w:r>
              <w:rPr>
                <w:b w:val="false"/>
                <w:bCs w:val="false"/>
              </w:rPr>
              <w:t xml:space="preserve">Supplies SOLID/DRY/KISS/YAGNI, naming, function, formatting, and tooling rules applied mainly in Development, plus the CI/linting setup in Environment &amp; CI/CD.</w:t>
            </w:r>
          </w:p>
        </w:tc>
      </w:tr>
      <w:tr>
        <w:tc>
          <w:tcPr>
            <w:tcW w:type="dxa" w:w="2800"/>
            <w:tcMar>
              <w:top w:type="dxa" w:w="100"/>
              <w:left w:type="dxa" w:w="120"/>
              <w:bottom w:type="dxa" w:w="100"/>
              <w:right w:type="dxa" w:w="120"/>
            </w:tcMar>
          </w:tcPr>
          <w:p>
            <w:r>
              <w:rPr>
                <w:b w:val="false"/>
                <w:bCs w:val="false"/>
              </w:rPr>
              <w:t xml:space="preserve">Software Design Document (SDD) Template.pdf</w:t>
            </w:r>
          </w:p>
        </w:tc>
        <w:tc>
          <w:tcPr>
            <w:tcW w:type="dxa" w:w="6560"/>
            <w:tcMar>
              <w:top w:type="dxa" w:w="100"/>
              <w:left w:type="dxa" w:w="120"/>
              <w:bottom w:type="dxa" w:w="100"/>
              <w:right w:type="dxa" w:w="120"/>
            </w:tcMar>
          </w:tcPr>
          <w:p>
            <w:r>
              <w:rPr>
                <w:b w:val="false"/>
                <w:bCs w:val="false"/>
              </w:rPr>
              <w:t xml:space="preserve">The exact 11-section template the Design phase deliverable (the SDD) must follow.</w:t>
            </w:r>
          </w:p>
        </w:tc>
      </w:tr>
    </w:tbl>
    <w:p>
      <w:r>
        <w:br w:type="page"/>
      </w:r>
    </w:p>
    <w:p>
      <w:pPr>
        <w:pStyle w:val="Heading1"/>
        <w:pBdr>
          <w:bottom w:val="single" w:color="8EA9C1" w:sz="6" w:space="4"/>
        </w:pBdr>
        <w:spacing w:after="160" w:before="360"/>
      </w:pPr>
      <w:r>
        <w:t xml:space="preserve">Phase 1 — Planning (Week 7)</w:t>
      </w:r>
    </w:p>
    <w:p>
      <w:pPr>
        <w:spacing w:after="120"/>
      </w:pPr>
      <w:r>
        <w:rPr>
          <w:b/>
          <w:bCs/>
          <w:color w:val="1F3864"/>
        </w:rPr>
        <w:t xml:space="preserve">SDLC alignment: </w:t>
      </w:r>
      <w:r>
        <w:t xml:space="preserve">Phase 1, Planning &amp; Feasibility Analysis (SDLC Document) — pinpoint goals, establish what the project does NOT need, prevent scope bloat.</w:t>
      </w:r>
    </w:p>
    <w:p>
      <w:pPr>
        <w:spacing w:after="120"/>
      </w:pPr>
      <w:r>
        <w:rPr>
          <w:b/>
          <w:bCs/>
          <w:color w:val="1F3864"/>
        </w:rPr>
        <w:t xml:space="preserve">Design principle(s) in force: </w:t>
      </w:r>
      <w:r>
        <w:t xml:space="preserve">"No Tunnel Vision" and "Traceable to the Analysis Model" (Core Design Principles, Ten Principles of Good Software Design).</w:t>
      </w:r>
    </w:p>
    <w:p>
      <w:pPr>
        <w:pStyle w:val="Heading3"/>
        <w:spacing w:after="100" w:before="200"/>
      </w:pPr>
      <w:r>
        <w:t xml:space="preserve">Tasks</w:t>
      </w:r>
    </w:p>
    <w:p>
      <w:pPr>
        <w:pStyle w:val="ListParagraph"/>
        <w:numPr>
          <w:ilvl w:val="0"/>
          <w:numId w:val="2"/>
        </w:numPr>
        <w:spacing w:after="100"/>
      </w:pPr>
      <w:r>
        <w:t xml:space="preserve">Write a one-page Scope Note covering:</w:t>
      </w:r>
    </w:p>
    <w:p>
      <w:pPr>
        <w:pStyle w:val="ListParagraph"/>
        <w:numPr>
          <w:ilvl w:val="0"/>
          <w:numId w:val="3"/>
        </w:numPr>
        <w:spacing w:after="90"/>
      </w:pPr>
      <w:r>
        <w:t xml:space="preserve">Objective (from the assignment brief): a functional draft dashboard prototype + 1-page design/architecture brief showing SDLC and clean coding principles applied.</w:t>
      </w:r>
    </w:p>
    <w:p>
      <w:pPr>
        <w:pStyle w:val="ListParagraph"/>
        <w:numPr>
          <w:ilvl w:val="0"/>
          <w:numId w:val="3"/>
        </w:numPr>
        <w:spacing w:after="90"/>
      </w:pPr>
      <w:r>
        <w:t xml:space="preserve">Per-subsidiary view requirements:</w:t>
      </w:r>
    </w:p>
    <w:p>
      <w:pPr>
        <w:pStyle w:val="ListParagraph"/>
        <w:numPr>
          <w:ilvl w:val="1"/>
          <w:numId w:val="3"/>
        </w:numPr>
        <w:spacing w:after="90"/>
      </w:pPr>
      <w:r>
        <w:t xml:space="preserve">Rukisha: portfolio value, disbursement trend, repayment rate, default rate by loan product.</w:t>
      </w:r>
    </w:p>
    <w:p>
      <w:pPr>
        <w:pStyle w:val="ListParagraph"/>
        <w:numPr>
          <w:ilvl w:val="1"/>
          <w:numId w:val="3"/>
        </w:numPr>
        <w:spacing w:after="90"/>
      </w:pPr>
      <w:r>
        <w:t xml:space="preserve">CPF Financial Services: member contributions, fund balance (and its growth).</w:t>
      </w:r>
    </w:p>
    <w:p>
      <w:pPr>
        <w:pStyle w:val="ListParagraph"/>
        <w:numPr>
          <w:ilvl w:val="1"/>
          <w:numId w:val="3"/>
        </w:numPr>
        <w:spacing w:after="90"/>
      </w:pPr>
      <w:r>
        <w:t xml:space="preserve">CPF Capital &amp; Advisory: deal count, transaction/deal value (deal types informed by the Laptrust IMARA I-REIT, Talanta Stadium financing, and Linzi Sukuk KDF Housing project).</w:t>
      </w:r>
    </w:p>
    <w:p>
      <w:pPr>
        <w:pStyle w:val="ListParagraph"/>
        <w:numPr>
          <w:ilvl w:val="0"/>
          <w:numId w:val="3"/>
        </w:numPr>
        <w:spacing w:after="90"/>
      </w:pPr>
      <w:r>
        <w:t xml:space="preserve">Primary user: a CPF Group finance manager comparing business lines.</w:t>
      </w:r>
    </w:p>
    <w:p>
      <w:pPr>
        <w:pStyle w:val="ListParagraph"/>
        <w:numPr>
          <w:ilvl w:val="0"/>
          <w:numId w:val="3"/>
        </w:numPr>
        <w:spacing w:after="90"/>
      </w:pPr>
      <w:r>
        <w:t xml:space="preserve">Explicit out-of-scope list: no real authentication, no live data feed, no production security hardening, no mobile app, no real financial data.</w:t>
      </w:r>
    </w:p>
    <w:p>
      <w:pPr>
        <w:pStyle w:val="ListParagraph"/>
        <w:numPr>
          <w:ilvl w:val="0"/>
          <w:numId w:val="3"/>
        </w:numPr>
        <w:spacing w:after="90"/>
      </w:pPr>
      <w:r>
        <w:t xml:space="preserve">Two-week timeline: Week 7 = Planning / Analysis / Design / Environment; Week 8 = Development / Testing / Deployment / Documentation.</w:t>
      </w:r>
    </w:p>
    <w:p>
      <w:pPr>
        <w:pStyle w:val="ListParagraph"/>
        <w:numPr>
          <w:ilvl w:val="0"/>
          <w:numId w:val="2"/>
        </w:numPr>
        <w:spacing w:after="100"/>
      </w:pPr>
      <w:r>
        <w:t xml:space="preserve">Feasibility check: confirm Vercel/Supabase free tiers, GitHub Actions minutes, and a solo two-week timebox are sufficient for the chosen stack (Next.js, Postgres/Supabase, Python/pandas, GitHub → Vercel CI/CD).</w:t>
      </w:r>
    </w:p>
    <w:p>
      <w:pPr>
        <w:pStyle w:val="ListParagraph"/>
        <w:numPr>
          <w:ilvl w:val="0"/>
          <w:numId w:val="2"/>
        </w:numPr>
        <w:spacing w:after="100"/>
      </w:pPr>
      <w:r>
        <w:t xml:space="preserve">Draft an initial risk list: schema complexity across 3 business lines; balancing frontend polish vs. functional coverage; dummy-data realism.</w:t>
      </w:r>
    </w:p>
    <w:p>
      <w:pPr>
        <w:pStyle w:val="ListParagraph"/>
        <w:numPr>
          <w:ilvl w:val="0"/>
          <w:numId w:val="2"/>
        </w:numPr>
        <w:spacing w:after="100"/>
      </w:pPr>
      <w:r>
        <w:t xml:space="preserve">Define "done" acceptance criteria for Week 8, to be reused as the basis for the Testing phase edge cases.</w:t>
      </w:r>
    </w:p>
    <w:p>
      <w:pPr>
        <w:spacing w:after="120"/>
      </w:pPr>
      <w:r>
        <w:rPr>
          <w:b/>
          <w:bCs/>
          <w:color w:val="1F3864"/>
        </w:rPr>
        <w:t xml:space="preserve">Deliverable: </w:t>
      </w:r>
      <w:r>
        <w:t xml:space="preserve">Scope Note (becomes SDD §1 Introduction / Scope).</w:t>
      </w:r>
    </w:p>
    <w:p>
      <w:pPr>
        <w:spacing w:after="120"/>
      </w:pPr>
      <w:r>
        <w:rPr>
          <w:b/>
          <w:bCs/>
          <w:color w:val="1F3864"/>
        </w:rPr>
        <w:t xml:space="preserve">Clean-code tie-in: </w:t>
      </w:r>
      <w:r>
        <w:t xml:space="preserve">explicitly excluding auth/live feeds here is YAGNI applied at the planning level (Clean Coding Practices §3.2) — it prevents building flexibility for requirements the two-week prototype does not need.</w:t>
      </w:r>
    </w:p>
    <w:p>
      <w:pPr>
        <w:pStyle w:val="Heading1"/>
        <w:pBdr>
          <w:bottom w:val="single" w:color="8EA9C1" w:sz="6" w:space="4"/>
        </w:pBdr>
        <w:spacing w:after="160" w:before="360"/>
      </w:pPr>
      <w:r>
        <w:t xml:space="preserve">Phase 2 — Analysis (Week 7)</w:t>
      </w:r>
    </w:p>
    <w:p>
      <w:pPr>
        <w:spacing w:after="120"/>
      </w:pPr>
      <w:r>
        <w:rPr>
          <w:b/>
          <w:bCs/>
          <w:color w:val="1F3864"/>
        </w:rPr>
        <w:t xml:space="preserve">SDLC alignment: </w:t>
      </w:r>
      <w:r>
        <w:t xml:space="preserve">Phase 2, Analysis / Requirement Specification (SDLC Document) — gather, document and validate detailed functional and non-functional requirements.</w:t>
      </w:r>
    </w:p>
    <w:p>
      <w:pPr>
        <w:spacing w:after="120"/>
      </w:pPr>
      <w:r>
        <w:rPr>
          <w:b/>
          <w:bCs/>
          <w:color w:val="1F3864"/>
        </w:rPr>
        <w:t xml:space="preserve">Design principle(s) in force: </w:t>
      </w:r>
      <w:r>
        <w:t xml:space="preserve">"Minimize Intellectual Distance" (Core Design Principles §2) — every KPI phrase becomes a concrete, testable calculation before any design work starts.</w:t>
      </w:r>
    </w:p>
    <w:p>
      <w:pPr>
        <w:pStyle w:val="Heading3"/>
        <w:spacing w:after="100" w:before="200"/>
      </w:pPr>
      <w:r>
        <w:t xml:space="preserve">Tasks</w:t>
      </w:r>
    </w:p>
    <w:p>
      <w:pPr>
        <w:pStyle w:val="ListParagraph"/>
        <w:numPr>
          <w:ilvl w:val="0"/>
          <w:numId w:val="2"/>
        </w:numPr>
        <w:spacing w:after="100"/>
      </w:pPr>
      <w:r>
        <w:t xml:space="preserve">Convert each requirement into a defined calculation and data source, per subsidiary:</w:t>
      </w:r>
    </w:p>
    <w:p>
      <w:pPr>
        <w:pStyle w:val="ListParagraph"/>
        <w:numPr>
          <w:ilvl w:val="0"/>
          <w:numId w:val="3"/>
        </w:numPr>
        <w:spacing w:after="90"/>
      </w:pPr>
      <w:r>
        <w:rPr>
          <w:b/>
          <w:bCs/>
          <w:i w:val="false"/>
          <w:iCs w:val="false"/>
        </w:rPr>
        <w:t xml:space="preserve">Rukisha</w:t>
      </w:r>
    </w:p>
    <w:p>
      <w:pPr>
        <w:pStyle w:val="ListParagraph"/>
        <w:numPr>
          <w:ilvl w:val="1"/>
          <w:numId w:val="3"/>
        </w:numPr>
        <w:spacing w:after="90"/>
      </w:pPr>
      <w:r>
        <w:t xml:space="preserve">Portfolio value = SUM(outstanding loan balance), grouped by product.</w:t>
      </w:r>
    </w:p>
    <w:p>
      <w:pPr>
        <w:pStyle w:val="ListParagraph"/>
        <w:numPr>
          <w:ilvl w:val="1"/>
          <w:numId w:val="3"/>
        </w:numPr>
        <w:spacing w:after="90"/>
      </w:pPr>
      <w:r>
        <w:t xml:space="preserve">Disbursement trend = SUM(disbursement amount), grouped by month.</w:t>
      </w:r>
    </w:p>
    <w:p>
      <w:pPr>
        <w:pStyle w:val="ListParagraph"/>
        <w:numPr>
          <w:ilvl w:val="1"/>
          <w:numId w:val="3"/>
        </w:numPr>
        <w:spacing w:after="90"/>
      </w:pPr>
      <w:r>
        <w:t xml:space="preserve">Repayment rate = SUM(repayments received) / SUM(repayments scheduled), per period.</w:t>
      </w:r>
    </w:p>
    <w:p>
      <w:pPr>
        <w:pStyle w:val="ListParagraph"/>
        <w:numPr>
          <w:ilvl w:val="1"/>
          <w:numId w:val="3"/>
        </w:numPr>
        <w:spacing w:after="90"/>
      </w:pPr>
      <w:r>
        <w:t xml:space="preserve">Default rate by loan product = COUNT(loans with days_overdue &gt; threshold) / COUNT(total loans), grouped by loan product.</w:t>
      </w:r>
    </w:p>
    <w:p>
      <w:pPr>
        <w:pStyle w:val="ListParagraph"/>
        <w:numPr>
          <w:ilvl w:val="0"/>
          <w:numId w:val="3"/>
        </w:numPr>
        <w:spacing w:after="90"/>
      </w:pPr>
      <w:r>
        <w:rPr>
          <w:b/>
          <w:bCs/>
          <w:i w:val="false"/>
          <w:iCs w:val="false"/>
        </w:rPr>
        <w:t xml:space="preserve">CPF Financial Services</w:t>
      </w:r>
    </w:p>
    <w:p>
      <w:pPr>
        <w:pStyle w:val="ListParagraph"/>
        <w:numPr>
          <w:ilvl w:val="1"/>
          <w:numId w:val="3"/>
        </w:numPr>
        <w:spacing w:after="90"/>
      </w:pPr>
      <w:r>
        <w:t xml:space="preserve">Member contributions = SUM(contribution amount), grouped by period/scheme.</w:t>
      </w:r>
    </w:p>
    <w:p>
      <w:pPr>
        <w:pStyle w:val="ListParagraph"/>
        <w:numPr>
          <w:ilvl w:val="1"/>
          <w:numId w:val="3"/>
        </w:numPr>
        <w:spacing w:after="90"/>
      </w:pPr>
      <w:r>
        <w:t xml:space="preserve">Fund balance = opening balance + contributions − withdrawals + investment returns, per scheme.</w:t>
      </w:r>
    </w:p>
    <w:p>
      <w:pPr>
        <w:pStyle w:val="ListParagraph"/>
        <w:numPr>
          <w:ilvl w:val="1"/>
          <w:numId w:val="3"/>
        </w:numPr>
        <w:spacing w:after="90"/>
      </w:pPr>
      <w:r>
        <w:t xml:space="preserve">Fund balance growth = (current period balance − prior period balance) / prior period balance.</w:t>
      </w:r>
    </w:p>
    <w:p>
      <w:pPr>
        <w:pStyle w:val="ListParagraph"/>
        <w:numPr>
          <w:ilvl w:val="0"/>
          <w:numId w:val="3"/>
        </w:numPr>
        <w:spacing w:after="90"/>
      </w:pPr>
      <w:r>
        <w:rPr>
          <w:b/>
          <w:bCs/>
          <w:i w:val="false"/>
          <w:iCs w:val="false"/>
        </w:rPr>
        <w:t xml:space="preserve">CPF Capital &amp; Advisory</w:t>
      </w:r>
    </w:p>
    <w:p>
      <w:pPr>
        <w:pStyle w:val="ListParagraph"/>
        <w:numPr>
          <w:ilvl w:val="1"/>
          <w:numId w:val="3"/>
        </w:numPr>
        <w:spacing w:after="90"/>
      </w:pPr>
      <w:r>
        <w:t xml:space="preserve">Deal count = COUNT(deals), grouped by period/deal type.</w:t>
      </w:r>
    </w:p>
    <w:p>
      <w:pPr>
        <w:pStyle w:val="ListParagraph"/>
        <w:numPr>
          <w:ilvl w:val="1"/>
          <w:numId w:val="3"/>
        </w:numPr>
        <w:spacing w:after="90"/>
      </w:pPr>
      <w:r>
        <w:t xml:space="preserve">Deal/transaction value = SUM(deal value), grouped by period/deal type.</w:t>
      </w:r>
    </w:p>
    <w:p>
      <w:pPr>
        <w:pStyle w:val="ListParagraph"/>
        <w:numPr>
          <w:ilvl w:val="0"/>
          <w:numId w:val="2"/>
        </w:numPr>
        <w:spacing w:after="100"/>
      </w:pPr>
      <w:r>
        <w:t xml:space="preserve">Define non-functional requirements: performance (small dummy dataset, no caching needed yet), maintainability (Clean Coding checklist as acceptance bar), minimal security (dummy data only, no PII), scalability note (schema should "Accommodate Change" — e.g., a 4th subsidiary added later without a redesign).</w:t>
      </w:r>
    </w:p>
    <w:p>
      <w:pPr>
        <w:pStyle w:val="ListParagraph"/>
        <w:numPr>
          <w:ilvl w:val="0"/>
          <w:numId w:val="2"/>
        </w:numPr>
        <w:spacing w:after="100"/>
      </w:pPr>
      <w:r>
        <w:t xml:space="preserve">Confirm data sourcing: Python/pandas generates the dummy datasets; Supabase Postgres is the system of record.</w:t>
      </w:r>
    </w:p>
    <w:p>
      <w:pPr>
        <w:pStyle w:val="ListParagraph"/>
        <w:numPr>
          <w:ilvl w:val="0"/>
          <w:numId w:val="2"/>
        </w:numPr>
        <w:spacing w:after="100"/>
      </w:pPr>
      <w:r>
        <w:t xml:space="preserve">Produce a Requirements Traceability outline: requirement → calculation → data table → UI component. This sets up the data-layer / logic-layer / UI-layer separation used in Design and Development.</w:t>
      </w:r>
    </w:p>
    <w:p>
      <w:pPr>
        <w:spacing w:after="120"/>
      </w:pPr>
      <w:r>
        <w:rPr>
          <w:b/>
          <w:bCs/>
          <w:color w:val="1F3864"/>
        </w:rPr>
        <w:t xml:space="preserve">Deliverable: </w:t>
      </w:r>
      <w:r>
        <w:t xml:space="preserve">Requirements &amp; Calculation Definitions sheet (feeds SDD §1 References and §4 Detailed Design “Algorithms/Logic”).</w:t>
      </w:r>
    </w:p>
    <w:p>
      <w:pPr>
        <w:pStyle w:val="Heading1"/>
        <w:pBdr>
          <w:bottom w:val="single" w:color="8EA9C1" w:sz="6" w:space="4"/>
        </w:pBdr>
        <w:spacing w:after="160" w:before="360"/>
      </w:pPr>
      <w:r>
        <w:t xml:space="preserve">Phase 3 — Design (Week 7)</w:t>
      </w:r>
    </w:p>
    <w:p>
      <w:pPr>
        <w:spacing w:after="120"/>
      </w:pPr>
      <w:r>
        <w:rPr>
          <w:b/>
          <w:bCs/>
          <w:color w:val="1F3864"/>
        </w:rPr>
        <w:t xml:space="preserve">SDLC alignment: </w:t>
      </w:r>
      <w:r>
        <w:t xml:space="preserve">Phase 3, Design (SDLC Document) — HLD + LLD culminating in a Software Design Document passed to development as the roadmap.</w:t>
      </w:r>
    </w:p>
    <w:p>
      <w:pPr>
        <w:spacing w:after="120"/>
      </w:pPr>
      <w:r>
        <w:t xml:space="preserve">This phase's core deliverable is the SDD itself, built on the required Software Design Document (SDD) Template, populated below section by section for this project.</w:t>
      </w:r>
    </w:p>
    <w:p>
      <w:pPr>
        <w:pStyle w:val="Heading3"/>
        <w:spacing w:after="100" w:before="200"/>
      </w:pPr>
      <w:r>
        <w:t xml:space="preserve">SDD content plan (mapped to the required template)</w:t>
      </w:r>
    </w:p>
    <w:p>
      <w:pPr>
        <w:spacing w:after="80" w:before="160"/>
      </w:pPr>
      <w:r>
        <w:rPr>
          <w:b/>
          <w:bCs/>
          <w:color w:val="2E5A88"/>
        </w:rPr>
        <w:t xml:space="preserve">1. Introduction</w:t>
      </w:r>
    </w:p>
    <w:p>
      <w:pPr>
        <w:pStyle w:val="ListParagraph"/>
        <w:numPr>
          <w:ilvl w:val="0"/>
          <w:numId w:val="3"/>
        </w:numPr>
        <w:spacing w:after="90"/>
      </w:pPr>
      <w:r>
        <w:t xml:space="preserve">Purpose: design of the CPF Group multi-subsidiary dashboard.</w:t>
      </w:r>
    </w:p>
    <w:p>
      <w:pPr>
        <w:pStyle w:val="ListParagraph"/>
        <w:numPr>
          <w:ilvl w:val="0"/>
          <w:numId w:val="3"/>
        </w:numPr>
        <w:spacing w:after="90"/>
      </w:pPr>
      <w:r>
        <w:t xml:space="preserve">Scope: in — 3 subsidiary views + comparison view; out — auth, live feeds (carried from Planning).</w:t>
      </w:r>
    </w:p>
    <w:p>
      <w:pPr>
        <w:pStyle w:val="ListParagraph"/>
        <w:numPr>
          <w:ilvl w:val="0"/>
          <w:numId w:val="3"/>
        </w:numPr>
        <w:spacing w:after="90"/>
      </w:pPr>
      <w:r>
        <w:t xml:space="preserve">Definitions: SDLC, SDD, KPI, REIT, Sukuk, CI/CD.</w:t>
      </w:r>
    </w:p>
    <w:p>
      <w:pPr>
        <w:pStyle w:val="ListParagraph"/>
        <w:numPr>
          <w:ilvl w:val="0"/>
          <w:numId w:val="3"/>
        </w:numPr>
        <w:spacing w:after="90"/>
      </w:pPr>
      <w:r>
        <w:t xml:space="preserve">References: Workplan, assignment brief, Clean Coding Practices, Core Design Principles.</w:t>
      </w:r>
    </w:p>
    <w:p>
      <w:pPr>
        <w:spacing w:after="80" w:before="160"/>
      </w:pPr>
      <w:r>
        <w:rPr>
          <w:b/>
          <w:bCs/>
          <w:color w:val="2E5A88"/>
        </w:rPr>
        <w:t xml:space="preserve">2. System Overview</w:t>
      </w:r>
    </w:p>
    <w:p>
      <w:pPr>
        <w:pStyle w:val="ListParagraph"/>
        <w:numPr>
          <w:ilvl w:val="0"/>
          <w:numId w:val="3"/>
        </w:numPr>
        <w:spacing w:after="90"/>
      </w:pPr>
      <w:r>
        <w:t xml:space="preserve">System Description: Next.js app reading a single subsidiary-partitioned Postgres (Supabase) database.</w:t>
      </w:r>
    </w:p>
    <w:p>
      <w:pPr>
        <w:pStyle w:val="ListParagraph"/>
        <w:numPr>
          <w:ilvl w:val="0"/>
          <w:numId w:val="3"/>
        </w:numPr>
        <w:spacing w:after="90"/>
      </w:pPr>
      <w:r>
        <w:t xml:space="preserve">Design Goals: maintainability/clarity, low coupling between subsidiaries' calculation logic, reusable chart/KPI components.</w:t>
      </w:r>
    </w:p>
    <w:p>
      <w:pPr>
        <w:pStyle w:val="ListParagraph"/>
        <w:numPr>
          <w:ilvl w:val="0"/>
          <w:numId w:val="3"/>
        </w:numPr>
        <w:spacing w:after="90"/>
      </w:pPr>
      <w:r>
        <w:t xml:space="preserve">Architecture Summary: modular monolith (not microservices) — justified by KISS/YAGNI given the two-week scope and small data volume.</w:t>
      </w:r>
    </w:p>
    <w:p>
      <w:pPr>
        <w:spacing w:after="80" w:before="160"/>
      </w:pPr>
      <w:r>
        <w:rPr>
          <w:b/>
          <w:bCs/>
          <w:color w:val="2E5A88"/>
        </w:rPr>
        <w:t xml:space="preserve">3. Architectural Design</w:t>
      </w:r>
    </w:p>
    <w:p>
      <w:pPr>
        <w:pStyle w:val="ListParagraph"/>
        <w:numPr>
          <w:ilvl w:val="0"/>
          <w:numId w:val="3"/>
        </w:numPr>
        <w:spacing w:after="90"/>
      </w:pPr>
      <w:r>
        <w:t xml:space="preserve">System Architecture Diagram (Mermaid): Browser → Next.js (Vercel) → API/Server Components → Data Access Layer → Supabase Postgres; separately, Python/pandas → seed scripts → Postgres.</w:t>
      </w:r>
    </w:p>
    <w:p>
      <w:pPr>
        <w:pStyle w:val="ListParagraph"/>
        <w:numPr>
          <w:ilvl w:val="0"/>
          <w:numId w:val="3"/>
        </w:numPr>
        <w:spacing w:after="90"/>
      </w:pPr>
      <w:r>
        <w:t xml:space="preserve">Module breakdown, applying Separation of Concerns + the four-layer split (Core Design Principles §11):</w:t>
      </w:r>
    </w:p>
    <w:p>
      <w:pPr>
        <w:pStyle w:val="ListParagraph"/>
        <w:numPr>
          <w:ilvl w:val="1"/>
          <w:numId w:val="3"/>
        </w:numPr>
        <w:spacing w:after="90"/>
      </w:pPr>
      <w:r>
        <w:t xml:space="preserve">Entry/Interface layer: pages, a horizontal collapsible navigation bar (subsidiary tabs, Group View, About), an alerts panel, and per-KPI info affordances.</w:t>
      </w:r>
    </w:p>
    <w:p>
      <w:pPr>
        <w:pStyle w:val="ListParagraph"/>
        <w:numPr>
          <w:ilvl w:val="1"/>
          <w:numId w:val="3"/>
        </w:numPr>
        <w:spacing w:after="90"/>
      </w:pPr>
      <w:r>
        <w:t xml:space="preserve">Orchestration layer: server actions/API routes sequencing fetch → compute → return.</w:t>
      </w:r>
    </w:p>
    <w:p>
      <w:pPr>
        <w:pStyle w:val="ListParagraph"/>
        <w:numPr>
          <w:ilvl w:val="1"/>
          <w:numId w:val="3"/>
        </w:numPr>
        <w:spacing w:after="90"/>
      </w:pPr>
      <w:r>
        <w:t xml:space="preserve">Core logic layer: pure calculation functions (no I/O) — defaultRate(), fundBalanceGrowth(), dealValue().</w:t>
      </w:r>
    </w:p>
    <w:p>
      <w:pPr>
        <w:pStyle w:val="ListParagraph"/>
        <w:numPr>
          <w:ilvl w:val="1"/>
          <w:numId w:val="3"/>
        </w:numPr>
        <w:spacing w:after="90"/>
      </w:pPr>
      <w:r>
        <w:t xml:space="preserve">Infrastructure/Data layer: a single Supabase client wrapper (Adapter pattern, Core Design Principles §6–7) isolating all Supabase-specific calls.</w:t>
      </w:r>
    </w:p>
    <w:p>
      <w:pPr>
        <w:pStyle w:val="ListParagraph"/>
        <w:numPr>
          <w:ilvl w:val="0"/>
          <w:numId w:val="3"/>
        </w:numPr>
        <w:spacing w:after="90"/>
      </w:pPr>
      <w:r>
        <w:t xml:space="preserve">Technology Stack: Next.js (App Router) + TypeScript, Postgres via Supabase, Python + pandas for dummy-data ETL, GitHub Actions (CI) + Vercel (CD), a charting library for KPI visuals.</w:t>
      </w:r>
    </w:p>
    <w:p>
      <w:pPr>
        <w:pStyle w:val="ListParagraph"/>
        <w:numPr>
          <w:ilvl w:val="0"/>
          <w:numId w:val="3"/>
        </w:numPr>
        <w:spacing w:after="90"/>
      </w:pPr>
      <w:r>
        <w:t xml:space="preserve">Data/Control Flow (Mermaid sequence): select subsidiary → orchestration layer → data-access layer query (filtered by subsidiary) → core logic computes KPIs → UI renders.</w:t>
      </w:r>
    </w:p>
    <w:p>
      <w:pPr>
        <w:spacing w:after="80" w:before="160"/>
      </w:pPr>
      <w:r>
        <w:rPr>
          <w:b/>
          <w:bCs/>
          <w:color w:val="2E5A88"/>
        </w:rPr>
        <w:t xml:space="preserve">4. Detailed Design</w:t>
      </w:r>
    </w:p>
    <w:p>
      <w:pPr>
        <w:pStyle w:val="ListParagraph"/>
        <w:numPr>
          <w:ilvl w:val="0"/>
          <w:numId w:val="3"/>
        </w:numPr>
        <w:spacing w:after="90"/>
      </w:pPr>
      <w:r>
        <w:t xml:space="preserve">Elaborates the same four modules named in §3's Module Breakdown — not a different set. Per module: Responsibilities / Interfaces (Inputs, Outputs, Error Handling) / Data Structures / Algorithms / State — the contract is written before implementation (Core Design Principles §8).</w:t>
      </w:r>
    </w:p>
    <w:p>
      <w:pPr>
        <w:pStyle w:val="ListParagraph"/>
        <w:numPr>
          <w:ilvl w:val="0"/>
          <w:numId w:val="3"/>
        </w:numPr>
        <w:spacing w:after="90"/>
      </w:pPr>
      <w:r>
        <w:t xml:space="preserve">Entry/Interface Layer: renders the dashboard shell (nav, KPI cards, InfoTooltip, charts, AlertsPanel, PeriodSwitch, Footer, AboutPage); presentation-only, driven by props; new KPIs extend without modifying existing components (Open/Closed); local component state only (KISS/YAGNI).</w:t>
      </w:r>
    </w:p>
    <w:p>
      <w:pPr>
        <w:pStyle w:val="ListParagraph"/>
        <w:numPr>
          <w:ilvl w:val="0"/>
          <w:numId w:val="3"/>
        </w:numPr>
        <w:spacing w:after="90"/>
      </w:pPr>
      <w:r>
        <w:t xml:space="preserve">Orchestration Layer: sequences fetch → calculate → shape-for-UI per view; stateless request-scoped handlers; translates a raw data-layer error into a generic UI-safe state.</w:t>
      </w:r>
    </w:p>
    <w:p>
      <w:pPr>
        <w:pStyle w:val="ListParagraph"/>
        <w:numPr>
          <w:ilvl w:val="0"/>
          <w:numId w:val="3"/>
        </w:numPr>
        <w:spacing w:after="90"/>
      </w:pPr>
      <w:r>
        <w:t xml:space="preserve">Core Logic Layer: one pure function per KPI (all 36, specified in Phase 2 Analysis §1 — not duplicated here); stateless and deterministic, so unit-testable without a database.</w:t>
      </w:r>
    </w:p>
    <w:p>
      <w:pPr>
        <w:pStyle w:val="ListParagraph"/>
        <w:numPr>
          <w:ilvl w:val="0"/>
          <w:numId w:val="3"/>
        </w:numPr>
        <w:spacing w:after="90"/>
      </w:pPr>
      <w:r>
        <w:t xml:space="preserve">Infrastructure/Data Layer: a single Supabase client wrapper (Adapter pattern) isolating every Supabase-specific call; thin query construction only, no business calculation.</w:t>
      </w:r>
    </w:p>
    <w:p>
      <w:pPr>
        <w:spacing w:after="80" w:before="160"/>
      </w:pPr>
      <w:r>
        <w:rPr>
          <w:b/>
          <w:bCs/>
          <w:color w:val="2E5A88"/>
        </w:rPr>
        <w:t xml:space="preserve">5. Database Design</w:t>
      </w:r>
    </w:p>
    <w:p>
      <w:pPr>
        <w:pStyle w:val="ListParagraph"/>
        <w:numPr>
          <w:ilvl w:val="0"/>
          <w:numId w:val="3"/>
        </w:numPr>
        <w:spacing w:after="90"/>
      </w:pPr>
      <w:r>
        <w:t xml:space="preserve">ER diagram (Mermaid): one subsidiary dimension table; Rukisha fact tables (loan_account, repayment, transaction, wallet, savings_account); CPF Financial Services fact tables (pension_scheme, scheme_member, contribution, fund_balance, trust_account, trust_beneficiary, agency_mandate); CPF Capital &amp; Advisory fact tables (reit_holding, reit_nav_history, deal, issuance); plus pension_link_summary, the Group Connection layer's aggregate table.</w:t>
      </w:r>
    </w:p>
    <w:p>
      <w:pPr>
        <w:pStyle w:val="ListParagraph"/>
        <w:numPr>
          <w:ilvl w:val="0"/>
          <w:numId w:val="3"/>
        </w:numPr>
        <w:spacing w:after="90"/>
      </w:pPr>
      <w:r>
        <w:t xml:space="preserve">Every fact table carries a subsidiary_id foreign key so the three business lines sit on one schema, per the workplan's explicit requirement (see ADR-0001).</w:t>
      </w:r>
    </w:p>
    <w:p>
      <w:pPr>
        <w:pStyle w:val="ListParagraph"/>
        <w:numPr>
          <w:ilvl w:val="0"/>
          <w:numId w:val="3"/>
        </w:numPr>
        <w:spacing w:after="90"/>
      </w:pPr>
      <w:r>
        <w:t xml:space="preserve">Tables/Collections, Relationships, Migration Strategy: Supabase SQL migrations; seed data loaded from Python/pandas-generated CSVs.</w:t>
      </w:r>
    </w:p>
    <w:p>
      <w:pPr>
        <w:spacing w:after="80" w:before="160"/>
      </w:pPr>
      <w:r>
        <w:rPr>
          <w:b/>
          <w:bCs/>
          <w:color w:val="2E5A88"/>
        </w:rPr>
        <w:t xml:space="preserve">6. External Interfaces</w:t>
      </w:r>
    </w:p>
    <w:p>
      <w:pPr>
        <w:pStyle w:val="ListParagraph"/>
        <w:numPr>
          <w:ilvl w:val="0"/>
          <w:numId w:val="3"/>
        </w:numPr>
        <w:spacing w:after="90"/>
      </w:pPr>
      <w:r>
        <w:t xml:space="preserve">UI wireframe notes: horizontal collapsible navigation (subsidiary tabs, Group View, About), individual responsive KPI tile cards (four per pillar) with per-tile info tooltips, trend/bullet charts, a header alerts panel, and a footer matching the navigation bar.</w:t>
      </w:r>
    </w:p>
    <w:p>
      <w:pPr>
        <w:pStyle w:val="ListParagraph"/>
        <w:numPr>
          <w:ilvl w:val="0"/>
          <w:numId w:val="3"/>
        </w:numPr>
        <w:spacing w:after="90"/>
      </w:pPr>
      <w:r>
        <w:t xml:space="preserve">External APIs: Supabase client SDK only, wrapped per the Adapter pattern.</w:t>
      </w:r>
    </w:p>
    <w:p>
      <w:pPr>
        <w:pStyle w:val="ListParagraph"/>
        <w:numPr>
          <w:ilvl w:val="0"/>
          <w:numId w:val="3"/>
        </w:numPr>
        <w:spacing w:after="90"/>
      </w:pPr>
      <w:r>
        <w:t xml:space="preserve">Protocol: REST via Supabase / Next.js API routes.</w:t>
      </w:r>
    </w:p>
    <w:p>
      <w:pPr>
        <w:spacing w:after="80" w:before="160"/>
      </w:pPr>
      <w:r>
        <w:rPr>
          <w:b/>
          <w:bCs/>
          <w:color w:val="2E5A88"/>
        </w:rPr>
        <w:t xml:space="preserve">7. Security Considerations</w:t>
      </w:r>
    </w:p>
    <w:p>
      <w:pPr>
        <w:pStyle w:val="ListParagraph"/>
        <w:numPr>
          <w:ilvl w:val="0"/>
          <w:numId w:val="3"/>
        </w:numPr>
        <w:spacing w:after="90"/>
      </w:pPr>
      <w:r>
        <w:t xml:space="preserve">Authentication/Authorization: none — explicitly out of scope and documented as a stated limitation, not an oversight.</w:t>
      </w:r>
    </w:p>
    <w:p>
      <w:pPr>
        <w:pStyle w:val="ListParagraph"/>
        <w:numPr>
          <w:ilvl w:val="0"/>
          <w:numId w:val="3"/>
        </w:numPr>
        <w:spacing w:after="90"/>
      </w:pPr>
      <w:r>
        <w:t xml:space="preserve">Data Protection: dummy data only; secrets via environment variables, never hard-coded (extends Clean Coding Practices' “no magic numbers/strings” rule to configuration and secrets).</w:t>
      </w:r>
    </w:p>
    <w:p>
      <w:pPr>
        <w:pStyle w:val="ListParagraph"/>
        <w:numPr>
          <w:ilvl w:val="0"/>
          <w:numId w:val="3"/>
        </w:numPr>
        <w:spacing w:after="90"/>
      </w:pPr>
      <w:r>
        <w:t xml:space="preserve">Compliance: not applicable to this prototype, noted for future real-data phases.</w:t>
      </w:r>
    </w:p>
    <w:p>
      <w:pPr>
        <w:pStyle w:val="ListParagraph"/>
        <w:numPr>
          <w:ilvl w:val="0"/>
          <w:numId w:val="3"/>
        </w:numPr>
        <w:spacing w:after="90"/>
      </w:pPr>
      <w:r>
        <w:t xml:space="preserve">Threat model: minimal, accepted risk documented — illustrated with a Mermaid diagram showing the untrusted/trusted boundary.</w:t>
      </w:r>
    </w:p>
    <w:p>
      <w:pPr>
        <w:spacing w:after="80" w:before="160"/>
      </w:pPr>
      <w:r>
        <w:rPr>
          <w:b/>
          <w:bCs/>
          <w:color w:val="2E5A88"/>
        </w:rPr>
        <w:t xml:space="preserve">8. Performance and Scalability</w:t>
      </w:r>
    </w:p>
    <w:p>
      <w:pPr>
        <w:pStyle w:val="ListParagraph"/>
        <w:numPr>
          <w:ilvl w:val="0"/>
          <w:numId w:val="3"/>
        </w:numPr>
        <w:spacing w:after="90"/>
      </w:pPr>
      <w:r>
        <w:t xml:space="preserve">Expected load: single-user demo, small dataset — no caching layer needed yet, but the data-access layer is isolated so caching could be added later without touching the UI (Open/Closed).</w:t>
      </w:r>
    </w:p>
    <w:p>
      <w:pPr>
        <w:pStyle w:val="ListParagraph"/>
        <w:numPr>
          <w:ilvl w:val="0"/>
          <w:numId w:val="3"/>
        </w:numPr>
        <w:spacing w:after="90"/>
      </w:pPr>
      <w:r>
        <w:t xml:space="preserve">Database optimization: indexes on subsidiary_id and date columns.</w:t>
      </w:r>
    </w:p>
    <w:p>
      <w:pPr>
        <w:spacing w:after="80" w:before="160"/>
      </w:pPr>
      <w:r>
        <w:rPr>
          <w:b/>
          <w:bCs/>
          <w:color w:val="2E5A88"/>
        </w:rPr>
        <w:t xml:space="preserve">9. Deployment Architecture</w:t>
      </w:r>
    </w:p>
    <w:p>
      <w:pPr>
        <w:pStyle w:val="ListParagraph"/>
        <w:numPr>
          <w:ilvl w:val="0"/>
          <w:numId w:val="3"/>
        </w:numPr>
        <w:spacing w:after="90"/>
      </w:pPr>
      <w:r>
        <w:t xml:space="preserve">Environments: local, Vercel preview (per PR), Vercel production (main).</w:t>
      </w:r>
    </w:p>
    <w:p>
      <w:pPr>
        <w:pStyle w:val="ListParagraph"/>
        <w:numPr>
          <w:ilvl w:val="0"/>
          <w:numId w:val="3"/>
        </w:numPr>
        <w:spacing w:after="90"/>
      </w:pPr>
      <w:r>
        <w:t xml:space="preserve">CI/CD: GitHub Actions runs lint + build on every push/PR; Vercel auto-deploys on merge to main.</w:t>
      </w:r>
    </w:p>
    <w:p>
      <w:pPr>
        <w:pStyle w:val="ListParagraph"/>
        <w:numPr>
          <w:ilvl w:val="0"/>
          <w:numId w:val="3"/>
        </w:numPr>
        <w:spacing w:after="90"/>
      </w:pPr>
      <w:r>
        <w:t xml:space="preserve">Hosting: Vercel + Supabase.</w:t>
      </w:r>
    </w:p>
    <w:p>
      <w:pPr>
        <w:pStyle w:val="ListParagraph"/>
        <w:numPr>
          <w:ilvl w:val="0"/>
          <w:numId w:val="3"/>
        </w:numPr>
        <w:spacing w:after="90"/>
      </w:pPr>
      <w:r>
        <w:t xml:space="preserve">Containerization: none needed (KISS/YAGNI, managed hosting).</w:t>
      </w:r>
    </w:p>
    <w:p>
      <w:pPr>
        <w:spacing w:after="80" w:before="160"/>
      </w:pPr>
      <w:r>
        <w:rPr>
          <w:b/>
          <w:bCs/>
          <w:color w:val="2E5A88"/>
        </w:rPr>
        <w:t xml:space="preserve">10. Testing Strategy</w:t>
      </w:r>
    </w:p>
    <w:p>
      <w:pPr>
        <w:pStyle w:val="ListParagraph"/>
        <w:numPr>
          <w:ilvl w:val="0"/>
          <w:numId w:val="3"/>
        </w:numPr>
        <w:spacing w:after="90"/>
      </w:pPr>
      <w:r>
        <w:t xml:space="preserve">Unit testing: pure core-logic functions, no DB/network required.</w:t>
      </w:r>
    </w:p>
    <w:p>
      <w:pPr>
        <w:pStyle w:val="ListParagraph"/>
        <w:numPr>
          <w:ilvl w:val="0"/>
          <w:numId w:val="3"/>
        </w:numPr>
        <w:spacing w:after="90"/>
      </w:pPr>
      <w:r>
        <w:t xml:space="preserve">Integration: data-access layer against a Supabase dev project.</w:t>
      </w:r>
    </w:p>
    <w:p>
      <w:pPr>
        <w:pStyle w:val="ListParagraph"/>
        <w:numPr>
          <w:ilvl w:val="0"/>
          <w:numId w:val="3"/>
        </w:numPr>
        <w:spacing w:after="90"/>
      </w:pPr>
      <w:r>
        <w:t xml:space="preserve">Manual/UAT: structured manual QA against Week 7 requirements, covering the edge cases named in the workplan (no data for a filter, a loan with no repayments yet, a pension scheme with no contributions this period).</w:t>
      </w:r>
    </w:p>
    <w:p>
      <w:pPr>
        <w:pStyle w:val="ListParagraph"/>
        <w:numPr>
          <w:ilvl w:val="0"/>
          <w:numId w:val="3"/>
        </w:numPr>
        <w:spacing w:after="90"/>
      </w:pPr>
      <w:r>
        <w:t xml:space="preserve">Quality metrics: ESLint clean, Clean Coding Practices checklist applied as a review pass.</w:t>
      </w:r>
    </w:p>
    <w:p>
      <w:pPr>
        <w:spacing w:after="80" w:before="160"/>
      </w:pPr>
      <w:r>
        <w:rPr>
          <w:b/>
          <w:bCs/>
          <w:color w:val="2E5A88"/>
        </w:rPr>
        <w:t xml:space="preserve">11. Appendices</w:t>
      </w:r>
    </w:p>
    <w:p>
      <w:pPr>
        <w:pStyle w:val="ListParagraph"/>
        <w:numPr>
          <w:ilvl w:val="0"/>
          <w:numId w:val="3"/>
        </w:numPr>
        <w:spacing w:after="90"/>
      </w:pPr>
      <w:r>
        <w:t xml:space="preserve">A. Diagrams: architecture, sequence, ER and threat-model diagrams — each included as Mermaid source alongside a rendered image, not source only.</w:t>
      </w:r>
    </w:p>
    <w:p>
      <w:pPr>
        <w:pStyle w:val="ListParagraph"/>
        <w:numPr>
          <w:ilvl w:val="0"/>
          <w:numId w:val="3"/>
        </w:numPr>
        <w:spacing w:after="90"/>
      </w:pPr>
      <w:r>
        <w:t xml:space="preserve">B. Architecture Decision Records — see below.</w:t>
      </w:r>
    </w:p>
    <w:p>
      <w:pPr>
        <w:pStyle w:val="ListParagraph"/>
        <w:numPr>
          <w:ilvl w:val="0"/>
          <w:numId w:val="3"/>
        </w:numPr>
        <w:spacing w:after="90"/>
      </w:pPr>
      <w:r>
        <w:t xml:space="preserve">C. Change History table.</w:t>
      </w:r>
    </w:p>
    <w:p>
      <w:pPr>
        <w:pStyle w:val="Heading3"/>
        <w:spacing w:after="100" w:before="200"/>
      </w:pPr>
      <w:r>
        <w:t xml:space="preserve">Additional Design-phase actions</w:t>
      </w:r>
    </w:p>
    <w:p>
      <w:pPr>
        <w:pStyle w:val="ListParagraph"/>
        <w:numPr>
          <w:ilvl w:val="0"/>
          <w:numId w:val="3"/>
        </w:numPr>
        <w:spacing w:after="90"/>
      </w:pPr>
      <w:r>
        <w:t xml:space="preserve">Record Architecture Decision Records for the significant choices made: ADR-0001, a single shared schema with a subsidiary field over three separate schemas; and ADR-0002, aggregate-level Group Connection linking over per-customer matching (Core Design Principles §8, Documentation as Part of Design).</w:t>
      </w:r>
    </w:p>
    <w:p>
      <w:pPr>
        <w:pStyle w:val="ListParagraph"/>
        <w:numPr>
          <w:ilvl w:val="0"/>
          <w:numId w:val="3"/>
        </w:numPr>
        <w:spacing w:after="90"/>
      </w:pPr>
      <w:r>
        <w:t xml:space="preserve">Name the design patterns deliberately used: Adapter (Supabase wrapper) and Strategy (per-subsidiary KPI calculation passed as a function rather than a growing if/else chain) — Core Design Principles §6.</w:t>
      </w:r>
    </w:p>
    <w:p>
      <w:pPr>
        <w:spacing w:after="120"/>
      </w:pPr>
      <w:r>
        <w:rPr>
          <w:b/>
          <w:bCs/>
          <w:color w:val="1F3864"/>
        </w:rPr>
        <w:t xml:space="preserve">Deliverable: </w:t>
      </w:r>
      <w:r>
        <w:t xml:space="preserve">Completed SDD (using the required template, with every Detailed Design module elaborating the same four layers named in the Architectural Design) + four Mermaid diagrams, each with a rendered image + two ADRs.</w:t>
      </w:r>
    </w:p>
    <w:p>
      <w:r>
        <w:br w:type="page"/>
      </w:r>
    </w:p>
    <w:p>
      <w:pPr>
        <w:pStyle w:val="Heading1"/>
        <w:pBdr>
          <w:bottom w:val="single" w:color="8EA9C1" w:sz="6" w:space="4"/>
        </w:pBdr>
        <w:spacing w:after="160" w:before="360"/>
      </w:pPr>
      <w:r>
        <w:t xml:space="preserve">Phase 4 — Environment and CI/CD (Week 7, closing)</w:t>
      </w:r>
    </w:p>
    <w:p>
      <w:pPr>
        <w:spacing w:after="120"/>
      </w:pPr>
      <w:r>
        <w:rPr>
          <w:b/>
          <w:bCs/>
          <w:color w:val="1F3864"/>
        </w:rPr>
        <w:t xml:space="preserve">SDLC alignment: </w:t>
      </w:r>
      <w:r>
        <w:t xml:space="preserve">Supports SDLC Phase 4 (Coding) and Phase 6 (Deployment); directly implements the “Modern Approach: CI/CD pipelines” note in the SDLC Document and the Tooling &amp; Team Workflow section of Clean Coding Practices (§12).</w:t>
      </w:r>
    </w:p>
    <w:p>
      <w:pPr>
        <w:pStyle w:val="Heading3"/>
        <w:spacing w:after="100" w:before="200"/>
      </w:pPr>
      <w:r>
        <w:t xml:space="preserve">Tasks</w:t>
      </w:r>
    </w:p>
    <w:p>
      <w:pPr>
        <w:pStyle w:val="ListParagraph"/>
        <w:numPr>
          <w:ilvl w:val="0"/>
          <w:numId w:val="2"/>
        </w:numPr>
        <w:spacing w:after="100"/>
      </w:pPr>
      <w:r>
        <w:t xml:space="preserve">Initialize the GitHub repository; add a .gitignore covering Next.js/node, Python, and env files.</w:t>
      </w:r>
    </w:p>
    <w:p>
      <w:pPr>
        <w:pStyle w:val="ListParagraph"/>
        <w:numPr>
          <w:ilvl w:val="0"/>
          <w:numId w:val="2"/>
        </w:numPr>
        <w:spacing w:after="100"/>
      </w:pPr>
      <w:r>
        <w:t xml:space="preserve">Scaffold the Next.js (TypeScript, App Router) project.</w:t>
      </w:r>
    </w:p>
    <w:p>
      <w:pPr>
        <w:pStyle w:val="ListParagraph"/>
        <w:numPr>
          <w:ilvl w:val="0"/>
          <w:numId w:val="2"/>
        </w:numPr>
        <w:spacing w:after="100"/>
      </w:pPr>
      <w:r>
        <w:t xml:space="preserve">Connect the repo to Vercel: preview deployments per PR, auto-deploy on push to main.</w:t>
      </w:r>
    </w:p>
    <w:p>
      <w:pPr>
        <w:pStyle w:val="ListParagraph"/>
        <w:numPr>
          <w:ilvl w:val="0"/>
          <w:numId w:val="2"/>
        </w:numPr>
        <w:spacing w:after="100"/>
      </w:pPr>
      <w:r>
        <w:t xml:space="preserve">Provision the Supabase project; store connection secrets as environment variables in Vercel and a local, git-ignored .env.local — never hard-coded.</w:t>
      </w:r>
    </w:p>
    <w:p>
      <w:pPr>
        <w:pStyle w:val="ListParagraph"/>
        <w:numPr>
          <w:ilvl w:val="0"/>
          <w:numId w:val="2"/>
        </w:numPr>
        <w:spacing w:after="100"/>
      </w:pPr>
      <w:r>
        <w:t xml:space="preserve">Configure ESLint + Prettier.</w:t>
      </w:r>
    </w:p>
    <w:p>
      <w:pPr>
        <w:pStyle w:val="ListParagraph"/>
        <w:numPr>
          <w:ilvl w:val="0"/>
          <w:numId w:val="2"/>
        </w:numPr>
        <w:spacing w:after="100"/>
      </w:pPr>
      <w:r>
        <w:t xml:space="preserve">Add a GitHub Actions workflow (.github/workflows/ci.yml) that runs install → lint → build on every push/PR, failing the build on non-compliant code.</w:t>
      </w:r>
    </w:p>
    <w:p>
      <w:pPr>
        <w:pStyle w:val="ListParagraph"/>
        <w:numPr>
          <w:ilvl w:val="0"/>
          <w:numId w:val="2"/>
        </w:numPr>
        <w:spacing w:after="100"/>
      </w:pPr>
      <w:r>
        <w:t xml:space="preserve">Add a pre-commit hook (e.g., Husky + lint-staged) so lint/format run before every commit — completing the three-checkpoint automation (editor, pre-commit, CI).</w:t>
      </w:r>
    </w:p>
    <w:p>
      <w:pPr>
        <w:pStyle w:val="ListParagraph"/>
        <w:numPr>
          <w:ilvl w:val="0"/>
          <w:numId w:val="2"/>
        </w:numPr>
        <w:spacing w:after="100"/>
      </w:pPr>
      <w:r>
        <w:t xml:space="preserve">Set up the Python environment for dummy-data generation (pandas, a fake-data library, a Postgres/Supabase client), with a requirements.txt.</w:t>
      </w:r>
    </w:p>
    <w:p>
      <w:pPr>
        <w:pStyle w:val="ListParagraph"/>
        <w:numPr>
          <w:ilvl w:val="0"/>
          <w:numId w:val="2"/>
        </w:numPr>
        <w:spacing w:after="100"/>
      </w:pPr>
      <w:r>
        <w:t xml:space="preserve">Adopt a Conventional Commits message style (feat:, fix:, chore:, docs:).</w:t>
      </w:r>
    </w:p>
    <w:p>
      <w:pPr>
        <w:pStyle w:val="ListParagraph"/>
        <w:numPr>
          <w:ilvl w:val="0"/>
          <w:numId w:val="2"/>
        </w:numPr>
        <w:spacing w:after="100"/>
      </w:pPr>
      <w:r>
        <w:t xml:space="preserve">Document setup/run instructions in the README.</w:t>
      </w:r>
    </w:p>
    <w:p>
      <w:pPr>
        <w:spacing w:after="120"/>
      </w:pPr>
      <w:r>
        <w:rPr>
          <w:b/>
          <w:bCs/>
          <w:color w:val="1F3864"/>
        </w:rPr>
        <w:t xml:space="preserve">Deliverable: </w:t>
      </w:r>
      <w:r>
        <w:t xml:space="preserve">Working repository with a green CI pipeline on a scaffold commit; environment fully ready for Week 8 development. This closes out Week 7.</w:t>
      </w:r>
    </w:p>
    <w:p>
      <w:pPr>
        <w:pStyle w:val="Heading1"/>
        <w:pBdr>
          <w:bottom w:val="single" w:color="8EA9C1" w:sz="6" w:space="4"/>
        </w:pBdr>
        <w:spacing w:after="160" w:before="360"/>
      </w:pPr>
      <w:r>
        <w:t xml:space="preserve">Phase 5 — Development (Week 8)</w:t>
      </w:r>
    </w:p>
    <w:p>
      <w:pPr>
        <w:spacing w:after="120"/>
      </w:pPr>
      <w:r>
        <w:rPr>
          <w:b/>
          <w:bCs/>
          <w:color w:val="1F3864"/>
        </w:rPr>
        <w:t xml:space="preserve">SDLC alignment: </w:t>
      </w:r>
      <w:r>
        <w:t xml:space="preserve">Phase 4, Development/Coding (SDLC Document) — write code against the approved SDD, with code review and version control discipline.</w:t>
      </w:r>
    </w:p>
    <w:p>
      <w:pPr>
        <w:pStyle w:val="Heading3"/>
        <w:spacing w:after="100" w:before="200"/>
      </w:pPr>
      <w:r>
        <w:t xml:space="preserve">Tasks, bottom-up through the layered architecture</w:t>
      </w:r>
    </w:p>
    <w:p>
      <w:pPr>
        <w:pStyle w:val="ListParagraph"/>
        <w:numPr>
          <w:ilvl w:val="0"/>
          <w:numId w:val="2"/>
        </w:numPr>
        <w:spacing w:after="100"/>
      </w:pPr>
      <w:r>
        <w:rPr>
          <w:b/>
          <w:bCs/>
          <w:i w:val="false"/>
          <w:iCs w:val="false"/>
        </w:rPr>
        <w:t xml:space="preserve">Data generation: </w:t>
      </w:r>
      <w:r>
        <w:t xml:space="preserve">Python/pandas scripts generate dummy datasets for all three subsidiaries as parameterized functions (Core Design Principles §5); load into Supabase; verify every table's subsidiary field is populated correctly.</w:t>
      </w:r>
    </w:p>
    <w:p>
      <w:pPr>
        <w:pStyle w:val="ListParagraph"/>
        <w:numPr>
          <w:ilvl w:val="0"/>
          <w:numId w:val="2"/>
        </w:numPr>
        <w:spacing w:after="100"/>
      </w:pPr>
      <w:r>
        <w:rPr>
          <w:b/>
          <w:bCs/>
          <w:i w:val="false"/>
          <w:iCs w:val="false"/>
        </w:rPr>
        <w:t xml:space="preserve">Data-access layer: </w:t>
      </w:r>
      <w:r>
        <w:t xml:space="preserve">build a single Supabase client wrapper module with typed query functions per entity; all Supabase-specific calls live here only (Adapter pattern, Law of Demeter).</w:t>
      </w:r>
    </w:p>
    <w:p>
      <w:pPr>
        <w:pStyle w:val="ListParagraph"/>
        <w:numPr>
          <w:ilvl w:val="0"/>
          <w:numId w:val="2"/>
        </w:numPr>
        <w:spacing w:after="100"/>
      </w:pPr>
      <w:r>
        <w:rPr>
          <w:b/>
          <w:bCs/>
          <w:i w:val="false"/>
          <w:iCs w:val="false"/>
        </w:rPr>
        <w:t xml:space="preserve">Core business-logic layer: </w:t>
      </w:r>
      <w:r>
        <w:t xml:space="preserve">implement the pure calculation functions defined in Analysis; small, single-responsibility, descriptively named (no d/x/tmp); each documented with its contract (inputs, outputs, edge cases).</w:t>
      </w:r>
    </w:p>
    <w:p>
      <w:pPr>
        <w:pStyle w:val="ListParagraph"/>
        <w:numPr>
          <w:ilvl w:val="0"/>
          <w:numId w:val="2"/>
        </w:numPr>
        <w:spacing w:after="100"/>
      </w:pPr>
      <w:r>
        <w:rPr>
          <w:b/>
          <w:bCs/>
          <w:i w:val="false"/>
          <w:iCs w:val="false"/>
        </w:rPr>
        <w:t xml:space="preserve">Orchestration layer: </w:t>
      </w:r>
      <w:r>
        <w:t xml:space="preserve">server actions/API routes chaining data layer → logic layer → UI; guard clauses/early returns for missing subsidiary or invalid filters instead of deep nesting.</w:t>
      </w:r>
    </w:p>
    <w:p>
      <w:pPr>
        <w:pStyle w:val="ListParagraph"/>
        <w:numPr>
          <w:ilvl w:val="0"/>
          <w:numId w:val="2"/>
        </w:numPr>
        <w:spacing w:after="100"/>
      </w:pPr>
      <w:r>
        <w:rPr>
          <w:b/>
          <w:bCs/>
          <w:i w:val="false"/>
          <w:iCs w:val="false"/>
        </w:rPr>
        <w:t xml:space="preserve">UI layer: </w:t>
      </w:r>
      <w:r>
        <w:t xml:space="preserve">build reusable components (SubsidiarySelector, KPICard, InfoTooltip, TrendChart, BulletChart, AlertsPanel, PeriodSwitch, ComparisonView, Footer, AboutPage); the subsidiary selector drives which business line's view is shown; every subsidiary view reuses the same components with different data (DRY).</w:t>
      </w:r>
    </w:p>
    <w:p>
      <w:pPr>
        <w:pStyle w:val="ListParagraph"/>
        <w:numPr>
          <w:ilvl w:val="0"/>
          <w:numId w:val="2"/>
        </w:numPr>
        <w:spacing w:after="100"/>
      </w:pPr>
      <w:r>
        <w:t xml:space="preserve">Apply the Clean Coding Practices checklist continuously: descriptive/pronounceable names; no magic numbers (e.g., extract “ovendue &gt; 90 days” into a named constant); guard clauses over nesting; minimized else branches; no flag arguments; comments only where the “why” isn't obvious; Prettier-enforced formatting; one statement per line.</w:t>
      </w:r>
    </w:p>
    <w:p>
      <w:pPr>
        <w:pStyle w:val="ListParagraph"/>
        <w:numPr>
          <w:ilvl w:val="0"/>
          <w:numId w:val="2"/>
        </w:numPr>
        <w:spacing w:after="100"/>
      </w:pPr>
      <w:r>
        <w:t xml:space="preserve">Apply SOLID where it earns its keep: Single Responsibility per function/module; Open/Closed — add a KPI or subsidiary by extending config/data, not editing tested calculation functions; Dependency Inversion — core logic depends on plain data types, never directly on the Supabase client.</w:t>
      </w:r>
    </w:p>
    <w:p>
      <w:pPr>
        <w:pStyle w:val="ListParagraph"/>
        <w:numPr>
          <w:ilvl w:val="0"/>
          <w:numId w:val="2"/>
        </w:numPr>
        <w:spacing w:after="100"/>
      </w:pPr>
      <w:r>
        <w:t xml:space="preserve">Apply the Boy Scout Rule to any scaffold code touched along the way.</w:t>
      </w:r>
    </w:p>
    <w:p>
      <w:pPr>
        <w:pStyle w:val="ListParagraph"/>
        <w:numPr>
          <w:ilvl w:val="0"/>
          <w:numId w:val="2"/>
        </w:numPr>
        <w:spacing w:after="100"/>
      </w:pPr>
      <w:r>
        <w:t xml:space="preserve">Commit frequently with Conventional Commit messages; keep changes scoped per layer/feature.</w:t>
      </w:r>
    </w:p>
    <w:p>
      <w:pPr>
        <w:spacing w:after="120"/>
      </w:pPr>
      <w:r>
        <w:rPr>
          <w:b/>
          <w:bCs/>
          <w:color w:val="1F3864"/>
        </w:rPr>
        <w:t xml:space="preserve">Deliverable: </w:t>
      </w:r>
      <w:r>
        <w:t xml:space="preserve">Functional dashboard covering all three subsidiaries, running locally, passing CI (lint + build) on every push.</w:t>
      </w:r>
    </w:p>
    <w:p>
      <w:pPr>
        <w:pStyle w:val="Heading1"/>
        <w:pBdr>
          <w:bottom w:val="single" w:color="8EA9C1" w:sz="6" w:space="4"/>
        </w:pBdr>
        <w:spacing w:after="160" w:before="360"/>
      </w:pPr>
      <w:r>
        <w:t xml:space="preserve">Phase 6 — Testing (Week 8)</w:t>
      </w:r>
    </w:p>
    <w:p>
      <w:pPr>
        <w:spacing w:after="120"/>
      </w:pPr>
      <w:r>
        <w:rPr>
          <w:b/>
          <w:bCs/>
          <w:color w:val="1F3864"/>
        </w:rPr>
        <w:t xml:space="preserve">SDLC alignment: </w:t>
      </w:r>
      <w:r>
        <w:t xml:space="preserve">Phase 5, Testing (SDLC Document). The workplan explicitly scopes this to structured manual QA rather than a full automated suite — the right call for a two-week prototype; lightweight unit tests still cover the pure core-logic functions (Clean Coding Practices §10: one assert per test, readable, fast, independent, repeatable).</w:t>
      </w:r>
    </w:p>
    <w:p>
      <w:pPr>
        <w:pStyle w:val="Heading3"/>
        <w:spacing w:after="100" w:before="200"/>
      </w:pPr>
      <w:r>
        <w:t xml:space="preserve">Tasks</w:t>
      </w:r>
    </w:p>
    <w:p>
      <w:pPr>
        <w:pStyle w:val="ListParagraph"/>
        <w:numPr>
          <w:ilvl w:val="0"/>
          <w:numId w:val="2"/>
        </w:numPr>
        <w:spacing w:after="100"/>
      </w:pPr>
      <w:r>
        <w:t xml:space="preserve">Unit-test the pure core-logic functions (defaultRate, fundBalanceGrowth, dealValue) with a handful of input/expected-output cases each.</w:t>
      </w:r>
    </w:p>
    <w:p>
      <w:pPr>
        <w:pStyle w:val="ListParagraph"/>
        <w:numPr>
          <w:ilvl w:val="0"/>
          <w:numId w:val="2"/>
        </w:numPr>
        <w:spacing w:after="100"/>
      </w:pPr>
      <w:r>
        <w:t xml:space="preserve">Manual QA per subsidiary against the Week 7 requirement definitions, explicitly covering the edge cases named in the workplan:</w:t>
      </w:r>
    </w:p>
    <w:p>
      <w:pPr>
        <w:pStyle w:val="ListParagraph"/>
        <w:numPr>
          <w:ilvl w:val="1"/>
          <w:numId w:val="3"/>
        </w:numPr>
        <w:spacing w:after="90"/>
      </w:pPr>
      <w:r>
        <w:t xml:space="preserve">No data for a given filter/date range → the dashboard should </w:t>
      </w:r>
      <w:r>
        <w:rPr>
          <w:b/>
          <w:bCs/>
          <w:i w:val="false"/>
          <w:iCs w:val="false"/>
        </w:rPr>
        <w:t xml:space="preserve">degrade gently</w:t>
      </w:r>
      <w:r>
        <w:t xml:space="preserve"> (Core Design Principles, Ten Principles table) — an empty state, not a crash.</w:t>
      </w:r>
    </w:p>
    <w:p>
      <w:pPr>
        <w:pStyle w:val="ListParagraph"/>
        <w:numPr>
          <w:ilvl w:val="1"/>
          <w:numId w:val="3"/>
        </w:numPr>
        <w:spacing w:after="90"/>
      </w:pPr>
      <w:r>
        <w:t xml:space="preserve">A loan with no repayments yet → repayment/default-rate calculations must not divide by zero or throw.</w:t>
      </w:r>
    </w:p>
    <w:p>
      <w:pPr>
        <w:pStyle w:val="ListParagraph"/>
        <w:numPr>
          <w:ilvl w:val="1"/>
          <w:numId w:val="3"/>
        </w:numPr>
        <w:spacing w:after="90"/>
      </w:pPr>
      <w:r>
        <w:t xml:space="preserve">A pension scheme with no contributions this period → fund balance growth must handle a null/zero baseline.</w:t>
      </w:r>
    </w:p>
    <w:p>
      <w:pPr>
        <w:pStyle w:val="ListParagraph"/>
        <w:numPr>
          <w:ilvl w:val="0"/>
          <w:numId w:val="2"/>
        </w:numPr>
        <w:spacing w:after="100"/>
      </w:pPr>
      <w:r>
        <w:t xml:space="preserve">Cross-subsidiary regression check: switching the subsidiary selector correctly swaps data/KPIs with no stale state leaking between views.</w:t>
      </w:r>
    </w:p>
    <w:p>
      <w:pPr>
        <w:pStyle w:val="ListParagraph"/>
        <w:numPr>
          <w:ilvl w:val="0"/>
          <w:numId w:val="2"/>
        </w:numPr>
        <w:spacing w:after="100"/>
      </w:pPr>
      <w:r>
        <w:t xml:space="preserve">Keep a short defect log (issue → root cause → fix → verified date), applying Clean Code's “always find the root cause” general rule.</w:t>
      </w:r>
    </w:p>
    <w:p>
      <w:pPr>
        <w:pStyle w:val="ListParagraph"/>
        <w:numPr>
          <w:ilvl w:val="0"/>
          <w:numId w:val="2"/>
        </w:numPr>
        <w:spacing w:after="100"/>
      </w:pPr>
      <w:r>
        <w:t xml:space="preserve">Re-confirm CI stays green after fixes.</w:t>
      </w:r>
    </w:p>
    <w:p>
      <w:pPr>
        <w:pStyle w:val="ListParagraph"/>
        <w:numPr>
          <w:ilvl w:val="0"/>
          <w:numId w:val="2"/>
        </w:numPr>
        <w:spacing w:after="100"/>
      </w:pPr>
      <w:r>
        <w:t xml:space="preserve">Run a final self-review pass against both Quick-Reference Checklists (Clean Coding Practices §13; Core Design Principles §14) before moving to deployment.</w:t>
      </w:r>
    </w:p>
    <w:p>
      <w:pPr>
        <w:spacing w:after="120"/>
      </w:pPr>
      <w:r>
        <w:rPr>
          <w:b/>
          <w:bCs/>
          <w:color w:val="1F3864"/>
        </w:rPr>
        <w:t xml:space="preserve">Deliverable: </w:t>
      </w:r>
      <w:r>
        <w:t xml:space="preserve">Defect log + a fixed, verified prototype ready to deploy.</w:t>
      </w:r>
    </w:p>
    <w:p>
      <w:pPr>
        <w:pStyle w:val="Heading1"/>
        <w:pBdr>
          <w:bottom w:val="single" w:color="8EA9C1" w:sz="6" w:space="4"/>
        </w:pBdr>
        <w:spacing w:after="160" w:before="360"/>
      </w:pPr>
      <w:r>
        <w:t xml:space="preserve">Phase 7 — Deployment (Week 8)</w:t>
      </w:r>
    </w:p>
    <w:p>
      <w:pPr>
        <w:spacing w:after="120"/>
      </w:pPr>
      <w:r>
        <w:rPr>
          <w:b/>
          <w:bCs/>
          <w:color w:val="1F3864"/>
        </w:rPr>
        <w:t xml:space="preserve">SDLC alignment: </w:t>
      </w:r>
      <w:r>
        <w:t xml:space="preserve">Phase 6, Deployment (SDLC Document) — production setup, smoke testing, CI/CD-driven release.</w:t>
      </w:r>
    </w:p>
    <w:p>
      <w:pPr>
        <w:pStyle w:val="Heading3"/>
        <w:spacing w:after="100" w:before="200"/>
      </w:pPr>
      <w:r>
        <w:t xml:space="preserve">Tasks</w:t>
      </w:r>
    </w:p>
    <w:p>
      <w:pPr>
        <w:pStyle w:val="ListParagraph"/>
        <w:numPr>
          <w:ilvl w:val="0"/>
          <w:numId w:val="2"/>
        </w:numPr>
        <w:spacing w:after="100"/>
      </w:pPr>
      <w:r>
        <w:t xml:space="preserve">Merge tested branches to main via PR (CI — lint + build — must pass).</w:t>
      </w:r>
    </w:p>
    <w:p>
      <w:pPr>
        <w:pStyle w:val="ListParagraph"/>
        <w:numPr>
          <w:ilvl w:val="0"/>
          <w:numId w:val="2"/>
        </w:numPr>
        <w:spacing w:after="100"/>
      </w:pPr>
      <w:r>
        <w:t xml:space="preserve">Confirm GitHub Actions → Vercel auto-deploy triggers correctly on merge to main.</w:t>
      </w:r>
    </w:p>
    <w:p>
      <w:pPr>
        <w:pStyle w:val="ListParagraph"/>
        <w:numPr>
          <w:ilvl w:val="0"/>
          <w:numId w:val="2"/>
        </w:numPr>
        <w:spacing w:after="100"/>
      </w:pPr>
      <w:r>
        <w:t xml:space="preserve">Smoke-test the live Vercel URL across all three subsidiary views, re-running the key edge cases from Testing against production, not just local.</w:t>
      </w:r>
    </w:p>
    <w:p>
      <w:pPr>
        <w:pStyle w:val="ListParagraph"/>
        <w:numPr>
          <w:ilvl w:val="0"/>
          <w:numId w:val="2"/>
        </w:numPr>
        <w:spacing w:after="100"/>
      </w:pPr>
      <w:r>
        <w:t xml:space="preserve">Verify Supabase environment variables/secrets are correctly set in the Vercel production environment.</w:t>
      </w:r>
    </w:p>
    <w:p>
      <w:pPr>
        <w:pStyle w:val="ListParagraph"/>
        <w:numPr>
          <w:ilvl w:val="0"/>
          <w:numId w:val="2"/>
        </w:numPr>
        <w:spacing w:after="100"/>
      </w:pPr>
      <w:r>
        <w:t xml:space="preserve">Confirm the hosted version matches what was tested locally.</w:t>
      </w:r>
    </w:p>
    <w:p>
      <w:pPr>
        <w:pStyle w:val="ListParagraph"/>
        <w:numPr>
          <w:ilvl w:val="0"/>
          <w:numId w:val="2"/>
        </w:numPr>
        <w:spacing w:after="100"/>
      </w:pPr>
      <w:r>
        <w:t xml:space="preserve">Record the deployed commit hash and live URL for the submission package.</w:t>
      </w:r>
    </w:p>
    <w:p>
      <w:pPr>
        <w:spacing w:after="120"/>
      </w:pPr>
      <w:r>
        <w:rPr>
          <w:b/>
          <w:bCs/>
          <w:color w:val="1F3864"/>
        </w:rPr>
        <w:t xml:space="preserve">Deliverable: </w:t>
      </w:r>
      <w:r>
        <w:t xml:space="preserve">A live, shareable Vercel URL running the verified prototype.</w:t>
      </w:r>
    </w:p>
    <w:p>
      <w:r>
        <w:br w:type="page"/>
      </w:r>
    </w:p>
    <w:p>
      <w:pPr>
        <w:pStyle w:val="Heading1"/>
        <w:pBdr>
          <w:bottom w:val="single" w:color="8EA9C1" w:sz="6" w:space="4"/>
        </w:pBdr>
        <w:spacing w:after="160" w:before="360"/>
      </w:pPr>
      <w:r>
        <w:t xml:space="preserve">Phase 8 — Documentation (Week 8, closing)</w:t>
      </w:r>
    </w:p>
    <w:p>
      <w:pPr>
        <w:spacing w:after="120"/>
      </w:pPr>
      <w:r>
        <w:rPr>
          <w:b/>
          <w:bCs/>
          <w:color w:val="1F3864"/>
        </w:rPr>
        <w:t xml:space="preserve">SDLC alignment: </w:t>
      </w:r>
      <w:r>
        <w:t xml:space="preserve">Consolidates all SDLC phases into the final deliverable; briefly acknowledges SDLC Phase 7, Maintenance, as explicitly out of scope but noted as future work.</w:t>
      </w:r>
    </w:p>
    <w:p>
      <w:pPr>
        <w:pStyle w:val="Heading3"/>
        <w:spacing w:after="100" w:before="200"/>
      </w:pPr>
      <w:r>
        <w:t xml:space="preserve">Tasks</w:t>
      </w:r>
    </w:p>
    <w:p>
      <w:pPr>
        <w:pStyle w:val="ListParagraph"/>
        <w:numPr>
          <w:ilvl w:val="0"/>
          <w:numId w:val="2"/>
        </w:numPr>
        <w:spacing w:after="100"/>
      </w:pPr>
      <w:r>
        <w:t xml:space="preserve">Finalize the SDD from Phase 3 with any changes made during Development/Testing, noting deviations and why (Core Design Principles §9, Iterative Design and Refactoring).</w:t>
      </w:r>
    </w:p>
    <w:p>
      <w:pPr>
        <w:pStyle w:val="ListParagraph"/>
        <w:numPr>
          <w:ilvl w:val="0"/>
          <w:numId w:val="2"/>
        </w:numPr>
        <w:spacing w:after="100"/>
      </w:pPr>
      <w:r>
        <w:t xml:space="preserve">Write the required 1-page Design &amp; Architecture Brief, covering exactly what the assignment brief asks for:</w:t>
      </w:r>
    </w:p>
    <w:p>
      <w:pPr>
        <w:pStyle w:val="ListParagraph"/>
        <w:numPr>
          <w:ilvl w:val="1"/>
          <w:numId w:val="3"/>
        </w:numPr>
        <w:spacing w:after="90"/>
      </w:pPr>
      <w:r>
        <w:t xml:space="preserve">What was built (3-subsidiary dashboard) and for whom (the CPF Group finance manager persona).</w:t>
      </w:r>
    </w:p>
    <w:p>
      <w:pPr>
        <w:pStyle w:val="ListParagraph"/>
        <w:numPr>
          <w:ilvl w:val="1"/>
          <w:numId w:val="3"/>
        </w:numPr>
        <w:spacing w:after="90"/>
      </w:pPr>
      <w:r>
        <w:t xml:space="preserve">Architecture summary in plain terms (Next.js + Supabase + the four-layer design).</w:t>
      </w:r>
    </w:p>
    <w:p>
      <w:pPr>
        <w:pStyle w:val="ListParagraph"/>
        <w:numPr>
          <w:ilvl w:val="1"/>
          <w:numId w:val="3"/>
        </w:numPr>
        <w:spacing w:after="90"/>
      </w:pPr>
      <w:r>
        <w:t xml:space="preserve">Which SDLC phases were followed and how (map Week 7/8 activities back to the 7 SDLC phases).</w:t>
      </w:r>
    </w:p>
    <w:p>
      <w:pPr>
        <w:pStyle w:val="ListParagraph"/>
        <w:numPr>
          <w:ilvl w:val="1"/>
          <w:numId w:val="3"/>
        </w:numPr>
        <w:spacing w:after="90"/>
      </w:pPr>
      <w:r>
        <w:t xml:space="preserve">Where specific design principles show up in the actual code, citing real file/module names once built (e.g., separation of concerns across data/logic/UI folders; DRY via a single calculateDefaultRate() reused by every chart that needs it; Open/Closed via config-driven KPI extension).</w:t>
      </w:r>
    </w:p>
    <w:p>
      <w:pPr>
        <w:pStyle w:val="ListParagraph"/>
        <w:numPr>
          <w:ilvl w:val="1"/>
          <w:numId w:val="3"/>
        </w:numPr>
        <w:spacing w:after="90"/>
      </w:pPr>
      <w:r>
        <w:t xml:space="preserve">Where specific clean coding practices show up (naming, guard clauses, no magic numbers, DRY, linter/CI enforcement).</w:t>
      </w:r>
    </w:p>
    <w:p>
      <w:pPr>
        <w:pStyle w:val="ListParagraph"/>
        <w:numPr>
          <w:ilvl w:val="0"/>
          <w:numId w:val="2"/>
        </w:numPr>
        <w:spacing w:after="100"/>
      </w:pPr>
      <w:r>
        <w:t xml:space="preserve">Update the README with final setup/run/deploy instructions, the architecture diagram, and links to the SDD and this plan.</w:t>
      </w:r>
    </w:p>
    <w:p>
      <w:pPr>
        <w:pStyle w:val="ListParagraph"/>
        <w:numPr>
          <w:ilvl w:val="0"/>
          <w:numId w:val="2"/>
        </w:numPr>
        <w:spacing w:after="100"/>
      </w:pPr>
      <w:r>
        <w:t xml:space="preserve">Run one last pass against both Quick-Reference Checklists as documented evidence of self-review.</w:t>
      </w:r>
    </w:p>
    <w:p>
      <w:pPr>
        <w:pStyle w:val="ListParagraph"/>
        <w:numPr>
          <w:ilvl w:val="0"/>
          <w:numId w:val="2"/>
        </w:numPr>
        <w:spacing w:after="100"/>
      </w:pPr>
      <w:r>
        <w:t xml:space="preserve">Package the final submission: live URL, GitHub repo link, the completed SDD, the 1-page design/architecture brief, and this execution plan as supporting process evidence.</w:t>
      </w:r>
    </w:p>
    <w:p>
      <w:pPr>
        <w:spacing w:after="120"/>
      </w:pPr>
      <w:r>
        <w:rPr>
          <w:b/>
          <w:bCs/>
          <w:color w:val="1F3864"/>
        </w:rPr>
        <w:t xml:space="preserve">Deliverable: </w:t>
      </w:r>
      <w:r>
        <w:t xml:space="preserve">Complete submission package for the end-of-Week-8 presentation.</w:t>
      </w:r>
    </w:p>
    <w:p>
      <w:r>
        <w:br w:type="page"/>
      </w:r>
    </w:p>
    <w:p>
      <w:pPr>
        <w:pStyle w:val="Heading1"/>
        <w:pBdr>
          <w:bottom w:val="single" w:color="8EA9C1" w:sz="6" w:space="4"/>
        </w:pBdr>
        <w:spacing w:after="160" w:before="360"/>
      </w:pPr>
      <w:r>
        <w:t xml:space="preserve">Master Submission Checklist</w:t>
      </w:r>
    </w:p>
    <w:p>
      <w:pPr>
        <w:spacing w:after="120"/>
      </w:pPr>
      <w:r>
        <w:t xml:space="preserve">Consolidated from the Clean Coding Practices §13 and Core Design Principles §14 quick-reference checklists, to be run once at the end of Phase 6 (Testing) and again before final submission in Phase 8.</w:t>
      </w:r>
    </w:p>
    <w:p>
      <w:pPr>
        <w:pStyle w:val="ListParagraph"/>
        <w:numPr>
          <w:ilvl w:val="0"/>
          <w:numId w:val="3"/>
        </w:numPr>
        <w:spacing w:after="90"/>
      </w:pPr>
      <w:r>
        <w:t xml:space="preserve">Names are descriptive, pronounceable and free of magic numbers/strings.</w:t>
      </w:r>
    </w:p>
    <w:p>
      <w:pPr>
        <w:pStyle w:val="ListParagraph"/>
        <w:numPr>
          <w:ilvl w:val="0"/>
          <w:numId w:val="3"/>
        </w:numPr>
        <w:spacing w:after="90"/>
      </w:pPr>
      <w:r>
        <w:t xml:space="preserve">Functions are small and do exactly one thing; few parameters; no flag arguments.</w:t>
      </w:r>
    </w:p>
    <w:p>
      <w:pPr>
        <w:pStyle w:val="ListParagraph"/>
        <w:numPr>
          <w:ilvl w:val="0"/>
          <w:numId w:val="3"/>
        </w:numPr>
        <w:spacing w:after="90"/>
      </w:pPr>
      <w:r>
        <w:t xml:space="preserve">Deep nesting is replaced with early returns / guard clauses; else is minimized.</w:t>
      </w:r>
    </w:p>
    <w:p>
      <w:pPr>
        <w:pStyle w:val="ListParagraph"/>
        <w:numPr>
          <w:ilvl w:val="0"/>
          <w:numId w:val="3"/>
        </w:numPr>
        <w:spacing w:after="90"/>
      </w:pPr>
      <w:r>
        <w:t xml:space="preserve">No duplicated logic (DRY); each KPI calculation exists once and is reused everywhere it's needed.</w:t>
      </w:r>
    </w:p>
    <w:p>
      <w:pPr>
        <w:pStyle w:val="ListParagraph"/>
        <w:numPr>
          <w:ilvl w:val="0"/>
          <w:numId w:val="3"/>
        </w:numPr>
        <w:spacing w:after="90"/>
      </w:pPr>
      <w:r>
        <w:t xml:space="preserve">SOLID respected — especially single responsibility and dependency inversion.</w:t>
      </w:r>
    </w:p>
    <w:p>
      <w:pPr>
        <w:pStyle w:val="ListParagraph"/>
        <w:numPr>
          <w:ilvl w:val="0"/>
          <w:numId w:val="3"/>
        </w:numPr>
        <w:spacing w:after="90"/>
      </w:pPr>
      <w:r>
        <w:t xml:space="preserve">Design is decomposed by separation of concerns; modules show high cohesion and low coupling.</w:t>
      </w:r>
    </w:p>
    <w:p>
      <w:pPr>
        <w:pStyle w:val="ListParagraph"/>
        <w:numPr>
          <w:ilvl w:val="0"/>
          <w:numId w:val="3"/>
        </w:numPr>
        <w:spacing w:after="90"/>
      </w:pPr>
      <w:r>
        <w:t xml:space="preserve">Core logic is built from pure, testable functions; I/O and side effects are pushed to the edges.</w:t>
      </w:r>
    </w:p>
    <w:p>
      <w:pPr>
        <w:pStyle w:val="ListParagraph"/>
        <w:numPr>
          <w:ilvl w:val="0"/>
          <w:numId w:val="3"/>
        </w:numPr>
        <w:spacing w:after="90"/>
      </w:pPr>
      <w:r>
        <w:t xml:space="preserve">External dependencies (Supabase) are isolated behind a single wrapper/adapter.</w:t>
      </w:r>
    </w:p>
    <w:p>
      <w:pPr>
        <w:pStyle w:val="ListParagraph"/>
        <w:numPr>
          <w:ilvl w:val="0"/>
          <w:numId w:val="3"/>
        </w:numPr>
        <w:spacing w:after="90"/>
      </w:pPr>
      <w:r>
        <w:t xml:space="preserve">New behavior (a KPI, a subsidiary) can be added without editing tested code (Open/Closed).</w:t>
      </w:r>
    </w:p>
    <w:p>
      <w:pPr>
        <w:pStyle w:val="ListParagraph"/>
        <w:numPr>
          <w:ilvl w:val="0"/>
          <w:numId w:val="3"/>
        </w:numPr>
        <w:spacing w:after="90"/>
      </w:pPr>
      <w:r>
        <w:t xml:space="preserve">The SDD, ADR, and this plan are kept consistent with what was actually built.</w:t>
      </w:r>
    </w:p>
    <w:p>
      <w:pPr>
        <w:pStyle w:val="ListParagraph"/>
        <w:numPr>
          <w:ilvl w:val="0"/>
          <w:numId w:val="3"/>
        </w:numPr>
        <w:spacing w:after="90"/>
      </w:pPr>
      <w:r>
        <w:t xml:space="preserve">Linter and formatter run locally, on pre-commit, and in CI before merge.</w:t>
      </w:r>
    </w:p>
    <w:p>
      <w:pPr>
        <w:pStyle w:val="ListParagraph"/>
        <w:numPr>
          <w:ilvl w:val="0"/>
          <w:numId w:val="3"/>
        </w:numPr>
        <w:spacing w:after="90"/>
      </w:pPr>
      <w:r>
        <w:t xml:space="preserve">Commit messages are clear, conventional, and explain the reason for the change.</w:t>
      </w:r>
    </w:p>
    <w:p>
      <w:pPr>
        <w:pStyle w:val="ListParagraph"/>
        <w:numPr>
          <w:ilvl w:val="0"/>
          <w:numId w:val="3"/>
        </w:numPr>
        <w:spacing w:after="90"/>
      </w:pPr>
      <w:r>
        <w:t xml:space="preserve">All named edge cases (no data, no repayments, no contributions) are tested and pass.</w:t>
      </w:r>
    </w:p>
    <w:p>
      <w:pPr>
        <w:pStyle w:val="ListParagraph"/>
        <w:numPr>
          <w:ilvl w:val="0"/>
          <w:numId w:val="3"/>
        </w:numPr>
        <w:spacing w:after="90"/>
      </w:pPr>
      <w:r>
        <w:t xml:space="preserve">The hosted Vercel deployment matches what was tested locally, across all three subsidiary views.</w:t>
      </w:r>
    </w:p>
    <w:p>
      <w:pPr>
        <w:pStyle w:val="ListParagraph"/>
        <w:numPr>
          <w:ilvl w:val="0"/>
          <w:numId w:val="3"/>
        </w:numPr>
        <w:spacing w:after="90"/>
      </w:pPr>
      <w:r>
        <w:t xml:space="preserve">The 1-page design/architecture brief names concrete SDLC phases and cites real code locations.</w:t>
      </w:r>
    </w:p>
    <w:sectPr>
      <w:headerReference w:type="default" r:id="rId6"/>
      <w:footerReference w:type="default" r:id="rId7"/>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08080"/>
        <w:sz w:val="16"/>
        <w:szCs w:val="16"/>
      </w:rPr>
      <w:t xml:space="preserve">Page </w:t>
    </w:r>
    <w:r>
      <w:rPr>
        <w:color w:val="808080"/>
        <w:sz w:val="16"/>
        <w:szCs w:val="16"/>
      </w:rPr>
      <w:fldChar w:fldCharType="begin"/>
      <w:instrText xml:space="preserve">PAGE</w:instrText>
      <w:fldChar w:fldCharType="separate"/>
      <w:fldChar w:fldCharType="end"/>
    </w:r>
    <w:r>
      <w:rPr>
        <w:color w:val="808080"/>
        <w:sz w:val="16"/>
        <w:szCs w:val="16"/>
      </w:rPr>
      <w:t xml:space="preserve"> of </w:t>
    </w:r>
    <w:r>
      <w:rPr>
        <w:color w:val="808080"/>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808080"/>
        <w:sz w:val="16"/>
        <w:szCs w:val="16"/>
      </w:rPr>
      <w:t xml:space="preserve">Week 7 &amp; 8 Execution Plan — Dashboard &amp; Data Product Build</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04" w:hanging="288"/>
      </w:pPr>
    </w:lvl>
    <w:lvl w:ilvl="1" w:tentative="1">
      <w:start w:val="1"/>
      <w:numFmt w:val="bullet"/>
      <w:lvlText w:val="–"/>
      <w:lvlJc w:val="left"/>
      <w:pPr>
        <w:ind w:left="1008" w:hanging="288"/>
      </w:pPr>
    </w:lvl>
  </w:abstractNum>
  <w:abstractNum w:abstractNumId="3" w15:restartNumberingAfterBreak="0">
    <w:multiLevelType w:val="hybridMultilevel"/>
    <w:lvl w:ilvl="0" w:tentative="1">
      <w:start w:val="1"/>
      <w:numFmt w:val="decimal"/>
      <w:lvlText w:val="%1."/>
      <w:lvlJc w:val="left"/>
      <w:pPr>
        <w:ind w:left="504"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2026-10-03T16:03:24.445Z</dcterms:created>
  <dcterms:modified xsi:type="dcterms:W3CDTF">2026-10-03T16:03:24.446Z</dcterms:modified>
</cp:coreProperties>
</file>

<file path=docProps/custom.xml><?xml version="1.0" encoding="utf-8"?>
<Properties xmlns="http://schemas.openxmlformats.org/officeDocument/2006/custom-properties" xmlns:vt="http://schemas.openxmlformats.org/officeDocument/2006/docPropsVTypes"/>
</file>