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LibreOffice/6.0.7.3$Linux_X86_64 LibreOffice_project/00m0$Build-3</Application>
  <Pages>2</Pages>
  <Words>558</Words>
  <Characters>2973</Characters>
  <CharactersWithSpaces>3521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2021-01-29T08:20:51Z</dcterms:modified>
  <cp:revision>17</cp:revision>
  <dc:subject/>
  <dc:title/>
</cp:coreProperties>
</file>