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AMM Liquidity Pool Hedging Analysis</w:t>
      </w:r>
    </w:p>
    <w:p>
      <w:pPr>
        <w:pStyle w:val="Heading2"/>
      </w:pPr>
      <w:r>
        <w:t>1. Impermanent Loss Over Time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permanent_lo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Cumulative Fees Earned Over Time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mulative_fe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Net PnL: LP vs HODL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_pnl_comparis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Key Takeaways</w:t>
      </w:r>
    </w:p>
    <w:p>
      <w:r>
        <w:t>• Impermanent Loss (IL) climbs as price diverges from the initial peg, reaching ~15% at peak.</w:t>
      </w:r>
    </w:p>
    <w:p>
      <w:r>
        <w:t>• Cumulative fees (~$30 USD) partially offset IL, narrowing the gap versus HODL.</w:t>
      </w:r>
    </w:p>
    <w:p>
      <w:r>
        <w:t>• LP net PnL underperforms HODL but benefits significantly from accrued fees.</w:t>
      </w:r>
    </w:p>
    <w:p>
      <w:pPr>
        <w:pStyle w:val="Heading2"/>
      </w:pPr>
      <w:r>
        <w:t>Next Steps</w:t>
      </w:r>
    </w:p>
    <w:p>
      <w:r>
        <w:t>1. Calibrate the volume proxy α using real DEX trading volumes.</w:t>
      </w:r>
    </w:p>
    <w:p>
      <w:r>
        <w:t>2. Perform sensitivity analysis: vary fee rates and volume factors.</w:t>
      </w:r>
    </w:p>
    <w:p>
      <w:r>
        <w:t>3. Extend the simulation to Fartcoin and SOL for cross-asset comparison.</w:t>
      </w:r>
    </w:p>
    <w:p>
      <w:r>
        <w:t>4. Incorporate price-impact models for large trade slippage.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