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6</w:t>
              <w:br/>
              <w:t>Ngày thực tế: 14/07/2026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phân tích yêu cầu Nhóm I–II: tích hợp/tự động hóa dữ liệu, cảnh báo đa kịch bản, KHB quân sự và vùng trời.</w:t>
              <w:br/>
              <w:t>Hồ sơ/bằng chứng đã kiểm tra: HTQLSLB-TLNV-01; Biên bản/Báo cáo khảo sát; dự thảo HTQLSLB-SRS-01; danh mục quy tắc cảnh báo.</w:t>
              <w:br/>
              <w:t>Kết quả giám sát: Đầu vào, quy tắc xử lý, đầu ra, ngoại lệ, phân quyền và tiêu chí chấp nhận của 07 chức năng được xác định đầy đủ.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Tiếp tục hoàn thiện đặc tả API, dữ liệu và ma trận truy vết cho các chức năng tích hợp/cảnh báo.</w:t>
              <w:br/>
              <w:t>Biên bản/tài liệu kèm theo: Phiếu giám sát mã HTQLSLB-GS-D06, ngày 14/07/2026;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6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