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31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31</w:t>
              <w:br/>
              <w:t>Ngày thực tế: 08/08/2026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ngày chuyển tiếp: rà soát hồ sơ RC1, chuẩn bị môi trường, dữ liệu, tài khoản và lịch kiểm thử hệ thống.</w:t>
              <w:br/>
              <w:t>Hồ sơ/bằng chứng đã kiểm tra: Biên bản bàn giao RC1; HTQLSLB-TESTPLAN-01; danh sách người kiểm thử; dữ liệu/kịch bản kiểm thử.</w:t>
              <w:br/>
              <w:t>Kết quả giám sát: Khoảng trống Ngày 31 trong tiến độ cũ được sử dụng hợp lý cho công tác chuẩn bị; không làm gián đoạn hoặc kéo dài tổng tiến độ.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Xác nhận sẵn sàng kiểm thử từ Ngày 32; yêu cầu khóa cấu hình RC1 và ghi nhận mọi thay đổi bằng phiếu lỗi/build mới.</w:t>
              <w:br/>
              <w:t>Biên bản/tài liệu kèm theo: Phiếu giám sát mã HTQLSLB-GS-D31, ngày 08/08/2026;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31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