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41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41</w:t>
              <w:br/>
              <w:t>Ngày thực tế: 18/08/2026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V – 04 chức năng AI và tích hợp Chatbot.</w:t>
              <w:br/>
              <w:t>Hồ sơ/bằng chứng đã kiểm tra: Bộ câu hỏi/ý định; kịch bản AI; dữ liệu theo quyền; log phản hồi; báo cáo thời gian/hiệu năng.</w:t>
              <w:br/>
              <w:t>Kết quả giám sát: 04/04 chức năng đáp ứng phạm vi truy vấn, tổng hợp, hỏi lại/fallback, phân quyền và lưu log; giao diện hoạt động ổn định.</w:t>
              <w:br/>
              <w:t>Sai lệch, nguyên nhân và biện pháp sửa chữa: Một số cách diễn đạt chưa nhận diện tối ưu được bổ sung vào bộ câu hỏi; không ảnh hưởng chức năng chính.</w:t>
              <w:br/>
              <w:t>Đề xuất/kiến nghị và kết quả xử lý: Cập nhật từ điển/ý định, kiểm thử lại và tiếp tục theo dõi chất lượng phản hồi trong vận hành.</w:t>
              <w:br/>
              <w:t>Biên bản/tài liệu kèm theo: Phiếu giám sát mã HTQLSLB-GS-D41, ngày 18/08/2026;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41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