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29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29</w:t>
              <w:br/>
              <w:t>Ngày thực tế: 06/08/2026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nội bộ sau cài đặt, ghi nhận lỗi, sửa cấu hình/mã nguồn và kiểm thử lại.</w:t>
              <w:br/>
              <w:t>Hồ sơ/bằng chứng đã kiểm tra: Báo cáo 02/2026/BCKTNB-HTQLSLB; HTQLSLB-DEFECT-INT-01; log ứng dụng/cơ sở dữ liệu; bằng chứng kiểm thử.</w:t>
              <w:br/>
              <w:t>Kết quả giám sát: Các luồng chính, kết nối, cơ sở dữ liệu, phân quyền, log và sao lưu mẫu được kiểm tra; lỗi nội bộ đã được phân loại và xử lý.</w:t>
              <w:br/>
              <w:t>Sai lệch, nguyên nhân và biện pháp sửa chữa: Phát hiện một số lỗi cấu hình/kết nối và hiển thị; nguyên nhân do tham số môi trường và khác biệt dữ liệu. Nhà thầu đã hiệu chỉnh, phát hành bản sửa và kiểm thử lại đạt.</w:t>
              <w:br/>
              <w:t>Đề xuất/kiến nghị và kết quả xử lý: Yêu cầu đóng từng lỗi bằng bằng chứng, cập nhật cấu hình chuẩn và không chuyển lỗi chưa xác nhận sang bước bàn giao.</w:t>
              <w:br/>
              <w:t>Biên bản/tài liệu kèm theo: Phiếu giám sát mã HTQLSLB-GS-D29, ngày 06/08/2026;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29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