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42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42</w:t>
              <w:br/>
              <w:t>Ngày thực tế: 19/08/2026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tích hợp đầu cuối giữa các nguồn dữ liệu, HTSLB, báo cáo và AI.</w:t>
              <w:br/>
              <w:t>Hồ sơ/bằng chứng đã kiểm tra: Kịch bản E2E; log email/AMHS/ADS-B/SLOT/API/Bravo; dữ liệu HTSLB; báo cáo và phản hồi AI.</w:t>
              <w:br/>
              <w:t>Kết quả giám sát: Luồng đầu cuối hoạt động, dữ liệu được xử lý một lần, lưu vết đầy đủ và kết quả khai thác nhất quán giữa các thành phần.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lưu log tương quan và bằng chứng đối soát cho từng luồng tích hợp chính.</w:t>
              <w:br/>
              <w:t>Biên bản/tài liệu kèm theo: Phiếu giám sát mã HTQLSLB-GS-D42, ngày 19/08/2026;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42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