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44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44</w:t>
              <w:br/>
              <w:t>Ngày thực tế: 21/08/2026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kiểm thử hiệu năng, phân quyền, an toàn thông tin, log, sao lưu/khôi phục; đồng thời rà soát tài liệu đào tạo.</w:t>
              <w:br/>
              <w:t>Hồ sơ/bằng chứng đã kiểm tra: Kịch bản phi chức năng; log đo; ma trận quyền; biên bản backup/restore; dự thảo HDSD/HDQTVH.</w:t>
              <w:br/>
              <w:t>Kết quả giám sát: Các tiêu chí chính đạt yêu cầu; quyền truy cập và audit đúng vai trò; sao lưu/khôi phục mẫu thành công; tài liệu đào tạo phù hợp phiên bản.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Hoàn thiện báo cáo phi chức năng và cập nhật tài liệu theo các thao tác/giao diện đã chốt.</w:t>
              <w:br/>
              <w:t>Biên bản/tài liệu kèm theo: Phiếu giám sát mã HTQLSLB-GS-D44, ngày 21/08/2026;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44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