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Ma trận truy vết FR-OPT-005…FR-OPT-010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bl>
    <w:p/>
    <w:p>
      <w:pPr>
        <w:pStyle w:val="Heading2"/>
      </w:pPr>
      <w:r>
        <w:t>7.15. Quy tắc nghiệp vụ chung của phân hệ</w:t>
      </w:r>
    </w:p>
    <w:p>
      <w:r>
        <w:rPr>
          <w:i/>
        </w:rPr>
        <w:t>[Sẽ đặc tả tại bước tiếp theo]</w:t>
      </w:r>
    </w:p>
    <w:p>
      <w:pPr>
        <w:pStyle w:val="Heading2"/>
      </w:pPr>
      <w:r>
        <w:t>7.16.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