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thuộc tính phân loại và tự động xác định trên dữ liệu chuyến bay hiện hữu.</w:t>
            </w:r>
          </w:p>
        </w:tc>
      </w:tr>
      <w:tr>
        <w:tc>
          <w:tcPr>
            <w:tcW w:type="dxa" w:w="4844"/>
            <w:vAlign w:val="center"/>
          </w:tcPr>
          <w:p>
            <w:r>
              <w:t>Mục tiêu</w:t>
            </w:r>
          </w:p>
        </w:tc>
        <w:tc>
          <w:tcPr>
            <w:tcW w:type="dxa" w:w="4844"/>
            <w:vAlign w:val="center"/>
          </w:tcPr>
          <w:p>
            <w:r>
              <w:t>Thống nhất cách lọc, thống kê và xuất dữ liệu Quốc nội/Quốc tế, giảm phân loại thủ công.</w:t>
            </w:r>
          </w:p>
        </w:tc>
      </w:tr>
      <w:tr>
        <w:tc>
          <w:tcPr>
            <w:tcW w:type="dxa" w:w="4844"/>
            <w:vAlign w:val="center"/>
          </w:tcPr>
          <w:p>
            <w:r>
              <w:t>Nguyên tắc</w:t>
            </w:r>
          </w:p>
        </w:tc>
        <w:tc>
          <w:tcPr>
            <w:tcW w:type="dxa" w:w="4844"/>
            <w:vAlign w:val="center"/>
          </w:tcPr>
          <w:p>
            <w:r>
              <w:t>Phân loại theo quốc gia của sân bay đi/đến sau khi chuẩn hóa mã sân bay; không suy đoán khi thiếu danh mục.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sử dụng danh mục sân bay/quốc gia dùng chung và hỗ trợ mã ICAO/IATA sau bước chuẩn hóa.</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Trạng thái phải được tính lại khi sân bay đi/đến hoặc danh mục sân bay thay đổi và được dùng thống nhất khi hiển thị, tìm kiếm, thống kê, export.</w:t>
            </w:r>
          </w:p>
        </w:tc>
      </w:tr>
      <w:tr>
        <w:tc>
          <w:tcPr>
            <w:tcW w:type="dxa" w:w="4844"/>
            <w:vAlign w:val="center"/>
          </w:tcPr>
          <w:p>
            <w:r>
              <w:t>FR-OPT-006.05</w:t>
            </w:r>
          </w:p>
        </w:tc>
        <w:tc>
          <w:tcPr>
            <w:tcW w:type="dxa" w:w="4844"/>
            <w:vAlign w:val="center"/>
          </w:tcPr>
          <w:p>
            <w:r>
              <w:t>Dữ liệu lịch sử cần được phân loại lại bằng tác vụ có kiểm soát; kết quả phải ghi số lượng theo từng trạng thái và lỗi.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bl>
    <w:p/>
    <w:p>
      <w:pPr>
        <w:pStyle w:val="Heading2"/>
      </w:pPr>
      <w:r>
        <w:t>7.9.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7.10.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7.11.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7.12.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7.13. Ma trận truy vết FR-OPT-006…FR-OPT-010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FR-OPT-006</w:t>
            </w:r>
          </w:p>
        </w:tc>
        <w:tc>
          <w:tcPr>
            <w:tcW w:type="dxa" w:w="3230"/>
            <w:vAlign w:val="center"/>
          </w:tcPr>
          <w:p>
            <w:r>
              <w:t>Danh mục sân bay, dữ liệu chuyến bay, bộ lọc/báo cáo</w:t>
            </w:r>
          </w:p>
        </w:tc>
        <w:tc>
          <w:tcPr>
            <w:tcW w:type="dxa" w:w="3230"/>
            <w:vAlign w:val="center"/>
          </w:tcPr>
          <w:p>
            <w:r>
              <w:t>Bộ dữ liệu nội địa/quốc tế/không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bl>
    <w:p/>
    <w:p>
      <w:pPr>
        <w:pStyle w:val="Heading2"/>
      </w:pPr>
      <w:r>
        <w:t>7.14. Quy tắc nghiệp vụ chung của phân hệ</w:t>
      </w:r>
    </w:p>
    <w:p>
      <w:r>
        <w:rPr>
          <w:i/>
        </w:rPr>
        <w:t>[Sẽ đặc tả tại bước tiếp theo]</w:t>
      </w:r>
    </w:p>
    <w:p>
      <w:pPr>
        <w:pStyle w:val="Heading2"/>
      </w:pPr>
      <w:r>
        <w:t>7.15.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