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Quy tắc nghiệp vụ chung của phân hệ</w:t>
      </w:r>
    </w:p>
    <w:p>
      <w:r>
        <w:rPr>
          <w:i/>
        </w:rPr>
        <w:t>[Sẽ đặc tả tại bước tiếp theo]</w:t>
      </w:r>
    </w:p>
    <w:p>
      <w:pPr>
        <w:pStyle w:val="Heading2"/>
      </w:pPr>
      <w:r>
        <w:t>7.9.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