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4</w:t>
              <w:br/>
              <w:t>Ngày thực tế: 12/07/2026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khảo sát dữ liệu ADS-B, hệ thống Bravo, Gateway/API và yêu cầu chia sẻ dữ liệu với các hệ thống liên quan.</w:t>
              <w:br/>
              <w:t>Hồ sơ/bằng chứng đã kiểm tra: Mẫu dữ liệu ADS-B; mô tả dữ liệu Bravo; khung Gateway API; sơ đồ kết nối; yêu cầu khai thác O/F.</w:t>
              <w:br/>
              <w:t>Kết quả giám sát: Đã xác định trường dữ liệu, tiêu chí ghép/đối chiếu, cơ chế xác thực, endpoint, lỗi tích hợp và yêu cầu lưu vết.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lập đặc tả mapping dữ liệu và API; chuẩn bị dữ liệu thật đã ẩn thông tin nhạy cảm để kiểm thử.</w:t>
              <w:br/>
              <w:t>Biên bản/tài liệu kèm theo: Phiếu giám sát mã HTQLSLB-GS-D04, ngày 12/07/2026;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4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