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9</w:t>
              <w:br/>
              <w:t>Ngày thực tế: 17/07/2026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thiết kế kiến trúc ứng dụng, cơ sở dữ liệu, triển khai máy chủ, tích hợp và yêu cầu an toàn thông tin.</w:t>
              <w:br/>
              <w:t>Hồ sơ/bằng chứng đã kiểm tra: HTQLSLB-TKCT-01 dự thảo; sơ đồ kiến trúc; HTQLSLB-DBDES-01; HTQLSLB-API-SPEC-01; ma trận phân quyền.</w:t>
              <w:br/>
              <w:t>Kết quả giám sát: Kiến trúc và thiết kế bảo đảm bao phủ 53 chức năng, tách môi trường, có cơ chế log, sao lưu/khôi phục và kiểm soát truy cập.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rà soát chéo thiết kế–yêu cầu và hoàn thiện cấu hình triển khai, cổng dịch vụ, tài khoản kỹ thuật.</w:t>
              <w:br/>
              <w:t>Biên bản/tài liệu kèm theo: Phiếu giám sát mã HTQLSLB-GS-D09, ngày 17/07/2026;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9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