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15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15</w:t>
              <w:br/>
              <w:t>Ngày thực tế: 23/07/2026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phát triển kết nối AMHS gửi/nhận điện văn và xử lý output.</w:t>
              <w:br/>
              <w:t>Hồ sơ/bằng chứng đã kiểm tra: Module AMHS; cấu hình kết nối; mẫu điện văn; log gửi/nhận; ca kiểm thử timeout/retry.</w:t>
              <w:br/>
              <w:t>Kết quả giám sát: Luồng gửi/nhận, xác nhận, retry và ghi log được xây dựng; output được chuẩn hóa theo yêu cầu đã thống nhất.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Yêu cầu bảo vệ thông tin kết nối, kiểm thử mất kết nối và cơ chế phục hồi hàng đợi.</w:t>
              <w:br/>
              <w:t>Biên bản/tài liệu kèm theo: Phiếu giám sát mã HTQLSLB-GS-D15, ngày 23/07/2026;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15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