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39</w:t>
              <w:br/>
              <w:t>Ngày thực tế: 16/08/2026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IV đợt 1: dashboard, xu hướng, bất thường và báo cáo ADS-B/hiệu suất.</w:t>
              <w:br/>
              <w:t>Hồ sơ/bằng chứng đã kiểm tra: Kịch bản Nhóm IV-1; dữ liệu thống kê/ADS-B; công thức KPI; kết quả biểu đồ và drill-down.</w:t>
              <w:br/>
              <w:t>Kết quả giám sát: KPI, biểu đồ, bộ lọc và chi tiết khớp công thức/dữ liệu nguồn; bất thường và chỉ số ADS-B hiển thị đúng.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bảng đối soát KPI và kiểm tra thêm các khoảng ngày không có dữ liệu.</w:t>
              <w:br/>
              <w:t>Biên bản/tài liệu kèm theo: Phiếu giám sát mã HTQLSLB-GS-D39, ngày 16/08/2026;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