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48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48</w:t>
              <w:br/>
              <w:t>Ngày thực tế: 25/08/2026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chốt UAT, xác nhận RC2 đủ điều kiện triển khai; đồng thời đào tạo người sử dụng theo 05 nhóm chức năng và quy trình nghiệp vụ.</w:t>
              <w:br/>
              <w:t>Hồ sơ/bằng chứng đã kiểm tra: 01/2026/BCKTHT-HTQLSLB; 01/2026/BBDK-HTQLSLB; HTQLSLB-KHDT-01; HTQLSLB-HDSD-01; danh sách học viên; phiếu đánh giá.</w:t>
              <w:br/>
              <w:t>Kết quả giám sát: Giai đoạn 5 hoàn thành 100% ngày 25/08/2026 (Ngày 48), 53/53 chức năng đạt. Người sử dụng được hướng dẫn và thực hành các luồng chính/cảnh báo/báo cáo.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Cho phép sử dụng RC2 để triển khai; bổ sung câu hỏi thường gặp và tình huống thực hành vào HDSD trước bàn giao.</w:t>
              <w:br/>
              <w:t>Biên bản/tài liệu kèm theo: Phiếu giám sát mã HTQLSLB-GS-D48, ngày 25/08/2026;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48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