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53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53</w:t>
              <w:br/>
              <w:t>Ngày thực tế: 30/08/2026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tra sau triển khai: tích hợp, dữ liệu, phân quyền, báo cáo, cảnh báo và các chức năng trọng yếu.</w:t>
              <w:br/>
              <w:t>Hồ sơ/bằng chứng đã kiểm tra: Checklist smoke test; log sản xuất; dữ liệu đối soát; kết quả kiểm tra người dùng; dashboard giám sát.</w:t>
              <w:br/>
              <w:t>Kết quả giám sát: Các luồng trọng yếu hoạt động, dữ liệu cập nhật đúng, người dùng truy cập theo quyền và không có lỗi cản trở vận hành.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Duy trì theo dõi tăng cường, ghi nhận phản hồi và không thay đổi cấu hình ngoài quy trình quản lý thay đổi.</w:t>
              <w:br/>
              <w:t>Biên bản/tài liệu kèm theo: Phiếu giám sát mã HTQLSLB-GS-D53, ngày 30/08/2026;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53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