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54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54</w:t>
              <w:br/>
              <w:t>Ngày thực tế: 31/08/2026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chuyển giao mã nguồn, gói cài đặt, script, dữ liệu, cấu hình, tài khoản và tài liệu kỹ thuật.</w:t>
              <w:br/>
              <w:t>Hồ sơ/bằng chứng đã kiểm tra: 01/2026/BBCG-HTQLSLB; danh mục bàn giao; checksum; repository/tag; tài liệu 1.0; phiếu bàn giao tài khoản.</w:t>
              <w:br/>
              <w:t>Kết quả giám sát: Đơn vị tiếp nhận đã nhận đủ sản phẩm và xác nhận khả năng truy cập/đọc; thông tin nhạy cảm được chuyển giao an toàn.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lưu hồ sơ theo quy định, đổi mật khẩu sau bàn giao và xác nhận đầu mối quản trị/hỗ trợ.</w:t>
              <w:br/>
              <w:t>Biên bản/tài liệu kèm theo: Phiếu giám sát mã HTQLSLB-GS-D54, ngày 31/08/2026;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54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