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Thiết kế cảnh báo, điện văn và phê duyệt</w:t>
      </w:r>
    </w:p>
    <w:p>
      <w:pPr>
        <w:pStyle w:val="Heading2"/>
        <w:keepNext/>
      </w:pPr>
      <w:r>
        <w:t>5.1.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2"/>
        <w:keepNext/>
      </w:pPr>
      <w:r>
        <w:t>5.2. Live Fire Message và Approve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2"/>
        <w:keepNext/>
      </w:pPr>
      <w:r>
        <w:t>5.3.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2"/>
        <w:keepNext/>
      </w:pPr>
      <w:r>
        <w:t>5.4.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2"/>
        <w:keepNext/>
      </w:pPr>
      <w:r>
        <w:t>5.5. Thiết kế dữ liệu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