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pPr>
      <w:r>
        <w:rPr>
          <w:b/>
          <w:bCs/>
          <w:color w:val="1F4E5F"/>
          <w:sz w:val="56"/>
          <w:szCs w:val="56"/>
        </w:rPr>
        <w:t xml:space="preserve">The Grammar of Contact Surfaces</w:t>
      </w:r>
    </w:p>
    <w:p>
      <w:pPr>
        <w:spacing w:after="300"/>
      </w:pPr>
      <w:r>
        <w:rPr>
          <w:color w:val="2E75B6"/>
          <w:sz w:val="30"/>
          <w:szCs w:val="30"/>
        </w:rPr>
        <w:t xml:space="preserve">Constructive Solid Geometry in Implicit Geological Modelling</w:t>
      </w:r>
    </w:p>
    <w:p>
      <w:pPr>
        <w:spacing w:after="80"/>
      </w:pPr>
      <w:r>
        <w:rPr>
          <w:i/>
          <w:iCs/>
          <w:color w:val="595959"/>
          <w:sz w:val="24"/>
          <w:szCs w:val="24"/>
        </w:rPr>
        <w:t xml:space="preserve">A comparison of Leapfrog, GemPy, LoopStructural, and the Lajaunie–Calcagno potential-field formalism</w:t>
      </w:r>
    </w:p>
    <w:p>
      <w:pPr>
        <w:pBdr>
          <w:top w:val="single" w:color="2E75B6" w:sz="6" w:space="8"/>
        </w:pBdr>
        <w:spacing w:before="600"/>
      </w:pPr>
      <w:r>
        <w:t xml:space="preserve"/>
      </w:r>
    </w:p>
    <w:p>
      <w:pPr>
        <w:spacing w:before="240"/>
      </w:pPr>
      <w:r>
        <w:rPr>
          <w:i/>
          <w:iCs/>
          <w:color w:val="595959"/>
          <w:sz w:val="22"/>
          <w:szCs w:val="22"/>
        </w:rPr>
        <w:t xml:space="preserve">Scope: how each system encodes the rules by which contact surfaces terminate, supersede, and fill volumes. Fault–surface interaction (what terminates against what across a fault) is treated only where it bears directly on the contact grammar.</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The problem: a surface is not a volume</w:t>
      </w:r>
    </w:p>
    <w:p>
      <w:pPr>
        <w:spacing w:after="160" w:line="276"/>
      </w:pPr>
      <w:r>
        <w:t xml:space="preserve">A geological model is a partition of space into labelled volumes. The modeller never supplies that partition directly; they supply </w:t>
      </w:r>
      <w:r>
        <w:rPr>
          <w:i/>
          <w:iCs/>
        </w:rPr>
        <w:t xml:space="preserve">contact surfaces</w:t>
      </w:r>
      <w:r>
        <w:t xml:space="preserve"> — the boundaries between units — together with a set of rules for how those surfaces interact. The rules are what turn a stack of interpolated surfaces into a watertight set of solids. This document is about those rules, which together form a small </w:t>
      </w:r>
      <w:r>
        <w:rPr>
          <w:b/>
          <w:bCs/>
        </w:rPr>
        <w:t xml:space="preserve">grammar</w:t>
      </w:r>
      <w:r>
        <w:t xml:space="preserve">: a closed vocabulary of contact behaviours and a syntax (ordering) that governs how they combine.</w:t>
      </w:r>
    </w:p>
    <w:p>
      <w:pPr>
        <w:spacing w:after="160" w:line="276"/>
      </w:pPr>
      <w:r>
        <w:t xml:space="preserve">Four systems are compared. </w:t>
      </w:r>
      <w:r>
        <w:rPr>
          <w:b/>
          <w:bCs/>
        </w:rPr>
        <w:t xml:space="preserve">Leapfrog</w:t>
      </w:r>
      <w:r>
        <w:t xml:space="preserve"> (Seequent) is the commercial reference most practitioners know. </w:t>
      </w:r>
      <w:r>
        <w:rPr>
          <w:b/>
          <w:bCs/>
        </w:rPr>
        <w:t xml:space="preserve">GemPy</w:t>
      </w:r>
      <w:r>
        <w:t xml:space="preserve"> is the open-source potential-field modeller. </w:t>
      </w:r>
      <w:r>
        <w:rPr>
          <w:b/>
          <w:bCs/>
        </w:rPr>
        <w:t xml:space="preserve">LoopStructural</w:t>
      </w:r>
      <w:r>
        <w:t xml:space="preserve"> is the Loop project's implicit engine. And underneath both open-source tools sits the </w:t>
      </w:r>
      <w:r>
        <w:rPr>
          <w:b/>
          <w:bCs/>
        </w:rPr>
        <w:t xml:space="preserve">Lajaunie–Calcagno potential-field formalism</w:t>
      </w:r>
      <w:r>
        <w:t xml:space="preserve">, the mathematical scheme that GemPy and LoopStructural are, in different ways, implementations of.</w:t>
      </w:r>
    </w:p>
    <w:p>
      <w:pPr>
        <w:spacing w:after="160" w:line="276"/>
      </w:pPr>
      <w:r>
        <w:t xml:space="preserve">The central thesis is that all four reduce to the same two primitive operations — </w:t>
      </w:r>
      <w:r>
        <w:rPr>
          <w:b/>
          <w:bCs/>
          <w:color w:val="2E75B6"/>
        </w:rPr>
        <w:t xml:space="preserve">erode</w:t>
      </w:r>
      <w:r>
        <w:t xml:space="preserve"> and </w:t>
      </w:r>
      <w:r>
        <w:rPr>
          <w:b/>
          <w:bCs/>
          <w:color w:val="2E75B6"/>
        </w:rPr>
        <w:t xml:space="preserve">onlap</w:t>
      </w:r>
      <w:r>
        <w:t xml:space="preserve"> — applied to a chronologically ordered sequence, but that they differ sharply in (a) whether conformity is a </w:t>
      </w:r>
      <w:r>
        <w:rPr>
          <w:i/>
          <w:iCs/>
        </w:rPr>
        <w:t xml:space="preserve">declared relationship</w:t>
      </w:r>
      <w:r>
        <w:t xml:space="preserve"> or an </w:t>
      </w:r>
      <w:r>
        <w:rPr>
          <w:i/>
          <w:iCs/>
        </w:rPr>
        <w:t xml:space="preserve">emergent geometric consequence</w:t>
      </w:r>
      <w:r>
        <w:t xml:space="preserve">, (b) whether intrusions and veins are unified with that grammar or split into separate constructive subsystems, and (c) the unit of interpolation — surface, or series.</w:t>
      </w:r>
    </w:p>
    <w:p>
      <w:pPr>
        <w:pStyle w:val="Heading1"/>
      </w:pPr>
      <w:r>
        <w:t xml:space="preserve">2. The shared substrate: chronology + younger-wins</w:t>
      </w:r>
    </w:p>
    <w:p>
      <w:pPr>
        <w:spacing w:after="160" w:line="276"/>
      </w:pPr>
      <w:r>
        <w:t xml:space="preserve">Every system here is built on the same skeleton. Surfaces (or the units they bound) are placed in </w:t>
      </w:r>
      <w:r>
        <w:rPr>
          <w:b/>
          <w:bCs/>
        </w:rPr>
        <w:t xml:space="preserve">chronological order</w:t>
      </w:r>
      <w:r>
        <w:t xml:space="preserve">. The model is evaluated youngest-first (or equivalently, older volumes are cut by younger surfaces), and the operative rule is </w:t>
      </w:r>
      <w:r>
        <w:rPr>
          <w:b/>
          <w:bCs/>
        </w:rPr>
        <w:t xml:space="preserve">younger wins</w:t>
      </w:r>
      <w:r>
        <w:t xml:space="preserve">: at any point in space, the lithology is the one assigned to the youngest surface whose region covers that point. Leapfrog states this almost verbatim — any volume is labelled with the lithology of the youngest side of the surface that last cut it.</w:t>
      </w:r>
    </w:p>
    <w:p>
      <w:pPr>
        <w:spacing w:after="160" w:line="276"/>
      </w:pPr>
      <w:r>
        <w:t xml:space="preserve">What differs between systems is the answer to one question: </w:t>
      </w:r>
      <w:r>
        <w:rPr>
          <w:i/>
          <w:iCs/>
        </w:rPr>
        <w:t xml:space="preserve">when a younger surface meets an older volume, which side does the younger material occupy, and how far does its influence propagate back through the older stack?</w:t>
      </w:r>
      <w:r>
        <w:t xml:space="preserve"> That single degree of freedom — a direction and a stopping rule — is the whole of the contact grammar. Everything below is an elaboration of it.</w:t>
      </w:r>
    </w:p>
    <w:p>
      <w:pPr>
        <w:pStyle w:val="Heading1"/>
      </w:pPr>
      <w:r>
        <w:t xml:space="preserve">3. Leapfrog: surface types as the primitive</w:t>
      </w:r>
    </w:p>
    <w:p>
      <w:pPr>
        <w:spacing w:after="160" w:line="276"/>
      </w:pPr>
      <w:r>
        <w:t xml:space="preserve">Leapfrog exposes the grammar as a typology of </w:t>
      </w:r>
      <w:r>
        <w:rPr>
          <w:b/>
          <w:bCs/>
        </w:rPr>
        <w:t xml:space="preserve">contact surface types</w:t>
      </w:r>
      <w:r>
        <w:t xml:space="preserve">, collected in a </w:t>
      </w:r>
      <w:r>
        <w:rPr>
          <w:i/>
          <w:iCs/>
        </w:rPr>
        <w:t xml:space="preserve">Surface Chronology</w:t>
      </w:r>
      <w:r>
        <w:t xml:space="preserve"> object that holds the surfaces in order and defines how they interact to produce volumes. The modeller chooses a type per surface; the type is described explicitly as indicative of resulting </w:t>
      </w:r>
      <w:r>
        <w:rPr>
          <w:i/>
          <w:iCs/>
        </w:rPr>
        <w:t xml:space="preserve">shape and cutting behaviour</w:t>
      </w:r>
      <w:r>
        <w:t xml:space="preserve"> rather than of the geological formation itself. There are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rPr>
          <w:tblHeader/>
        </w:trPr>
        <w:tc>
          <w:tcPr>
            <w:tcW w:type="dxa" w:w="1500"/>
            <w:tcBorders>
              <w:top w:val="single" w:color="BFCAD1" w:sz="1"/>
              <w:left w:val="single" w:color="BFCAD1" w:sz="1"/>
              <w:bottom w:val="single" w:color="BFCAD1" w:sz="1"/>
              <w:right w:val="single" w:color="BFCAD1" w:sz="1"/>
            </w:tcBorders>
            <w:shd w:fill="1F4E5F" w:val="clear"/>
            <w:tcMar>
              <w:top w:type="dxa" w:w="70"/>
              <w:left w:type="dxa" w:w="110"/>
              <w:bottom w:type="dxa" w:w="70"/>
              <w:right w:type="dxa" w:w="110"/>
            </w:tcMar>
          </w:tcPr>
          <w:p>
            <w:r>
              <w:rPr>
                <w:b/>
                <w:bCs/>
                <w:color w:val="FFFFFF"/>
                <w:sz w:val="19"/>
                <w:szCs w:val="19"/>
              </w:rPr>
              <w:t xml:space="preserve">Type</w:t>
            </w:r>
          </w:p>
        </w:tc>
        <w:tc>
          <w:tcPr>
            <w:tcW w:type="dxa" w:w="1700"/>
            <w:tcBorders>
              <w:top w:val="single" w:color="BFCAD1" w:sz="1"/>
              <w:left w:val="single" w:color="BFCAD1" w:sz="1"/>
              <w:bottom w:val="single" w:color="BFCAD1" w:sz="1"/>
              <w:right w:val="single" w:color="BFCAD1" w:sz="1"/>
            </w:tcBorders>
            <w:shd w:fill="1F4E5F" w:val="clear"/>
            <w:tcMar>
              <w:top w:type="dxa" w:w="70"/>
              <w:left w:type="dxa" w:w="110"/>
              <w:bottom w:type="dxa" w:w="70"/>
              <w:right w:type="dxa" w:w="110"/>
            </w:tcMar>
          </w:tcPr>
          <w:p>
            <w:r>
              <w:rPr>
                <w:b/>
                <w:bCs/>
                <w:color w:val="FFFFFF"/>
                <w:sz w:val="19"/>
                <w:szCs w:val="19"/>
              </w:rPr>
              <w:t xml:space="preserve">Shape</w:t>
            </w:r>
          </w:p>
        </w:tc>
        <w:tc>
          <w:tcPr>
            <w:tcW w:type="dxa" w:w="6160"/>
            <w:tcBorders>
              <w:top w:val="single" w:color="BFCAD1" w:sz="1"/>
              <w:left w:val="single" w:color="BFCAD1" w:sz="1"/>
              <w:bottom w:val="single" w:color="BFCAD1" w:sz="1"/>
              <w:right w:val="single" w:color="BFCAD1" w:sz="1"/>
            </w:tcBorders>
            <w:shd w:fill="1F4E5F" w:val="clear"/>
            <w:tcMar>
              <w:top w:type="dxa" w:w="70"/>
              <w:left w:type="dxa" w:w="110"/>
              <w:bottom w:type="dxa" w:w="70"/>
              <w:right w:type="dxa" w:w="110"/>
            </w:tcMar>
          </w:tcPr>
          <w:p>
            <w:r>
              <w:rPr>
                <w:b/>
                <w:bCs/>
                <w:color w:val="FFFFFF"/>
                <w:sz w:val="19"/>
                <w:szCs w:val="19"/>
              </w:rPr>
              <w:t xml:space="preserve">Cutting behaviour</w:t>
            </w:r>
          </w:p>
        </w:tc>
      </w:tr>
      <w:tr>
        <w:tc>
          <w:tcPr>
            <w:tcW w:type="dxa" w:w="150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Deposit</w:t>
            </w:r>
          </w:p>
        </w:tc>
        <w:tc>
          <w:tcPr>
            <w:tcW w:type="dxa" w:w="170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Sheet-like</w:t>
            </w:r>
          </w:p>
        </w:tc>
        <w:tc>
          <w:tcPr>
            <w:tcW w:type="dxa" w:w="616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Does not cut older volumes; appears conformably on top of older volumes. Primary lithology on the young side.</w:t>
            </w:r>
          </w:p>
        </w:tc>
      </w:tr>
      <w:tr>
        <w:tc>
          <w:tcPr>
            <w:tcW w:type="dxa" w:w="150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Erosion</w:t>
            </w:r>
          </w:p>
        </w:tc>
        <w:tc>
          <w:tcPr>
            <w:tcW w:type="dxa" w:w="170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Sheet-like</w:t>
            </w:r>
          </w:p>
        </w:tc>
        <w:tc>
          <w:tcPr>
            <w:tcW w:type="dxa" w:w="616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Like a deposit, but cuts away (removes) other surfaces on the older side of the erosion surface.</w:t>
            </w:r>
          </w:p>
        </w:tc>
      </w:tr>
      <w:tr>
        <w:tc>
          <w:tcPr>
            <w:tcW w:type="dxa" w:w="150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Intrusion</w:t>
            </w:r>
          </w:p>
        </w:tc>
        <w:tc>
          <w:tcPr>
            <w:tcW w:type="dxa" w:w="170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Rounder, closed</w:t>
            </w:r>
          </w:p>
        </w:tc>
        <w:tc>
          <w:tcPr>
            <w:tcW w:type="dxa" w:w="616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Removes existing lithologies and replaces them with the intrusive lithology on the younger (inside) of the surface. Outer side often 'Unknown' as it contacts multiple units.</w:t>
            </w:r>
          </w:p>
        </w:tc>
      </w:tr>
      <w:tr>
        <w:tc>
          <w:tcPr>
            <w:tcW w:type="dxa" w:w="150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Vein</w:t>
            </w:r>
          </w:p>
        </w:tc>
        <w:tc>
          <w:tcPr>
            <w:tcW w:type="dxa" w:w="170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Tabular</w:t>
            </w:r>
          </w:p>
        </w:tc>
        <w:tc>
          <w:tcPr>
            <w:tcW w:type="dxa" w:w="616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Removes existing lithologies and replaces them with the vein lithology within boundaries defined by hangingwall, footwall, and a reference surface.</w:t>
            </w:r>
          </w:p>
        </w:tc>
      </w:tr>
    </w:tbl>
    <w:p>
      <w:pPr>
        <w:spacing w:after="60" w:line="276"/>
      </w:pPr>
    </w:p>
    <w:p>
      <w:pPr>
        <w:spacing w:after="160" w:line="276"/>
      </w:pPr>
      <w:r>
        <w:t xml:space="preserve">Two structural ideas sit alongside the types. </w:t>
      </w:r>
      <w:r>
        <w:rPr>
          <w:b/>
          <w:bCs/>
        </w:rPr>
        <w:t xml:space="preserve">Younging direction</w:t>
      </w:r>
      <w:r>
        <w:t xml:space="preserve"> gives every surface an older and a younger side; for deposits and erosions Leapfrog defaults the younger side up, while for intrusions the younger side is the inside. This is the direction half of the degree of freedom named in §2. The </w:t>
      </w:r>
      <w:r>
        <w:rPr>
          <w:b/>
          <w:bCs/>
        </w:rPr>
        <w:t xml:space="preserve">order in the chronology</w:t>
      </w:r>
      <w:r>
        <w:t xml:space="preserve"> is the other half: a newly created model is one undivided 'Unknown' background volume, and surfaces cut it in sequence, each cut labelling the volume on its younger side.</w:t>
      </w:r>
    </w:p>
    <w:p>
      <w:pPr>
        <w:spacing w:after="160" w:line="276"/>
      </w:pPr>
      <w:r>
        <w:t xml:space="preserve">The instructive subtlety is that Leapfrog's </w:t>
      </w:r>
      <w:r>
        <w:rPr>
          <w:i/>
          <w:iCs/>
        </w:rPr>
        <w:t xml:space="preserve">deposit</w:t>
      </w:r>
      <w:r>
        <w:t xml:space="preserve"> and </w:t>
      </w:r>
      <w:r>
        <w:rPr>
          <w:i/>
          <w:iCs/>
        </w:rPr>
        <w:t xml:space="preserve">erosion</w:t>
      </w:r>
      <w:r>
        <w:t xml:space="preserve"> are the same surface differing only in whether the older side is cut. A deposit that is switched to an erosion begins removing the volumes beneath it; switched back, those volumes reappear. That is exactly the erode/onlap degree of freedom of the potential-field formalism, surfaced as a user-facing toggle. Leapfrog's </w:t>
      </w:r>
      <w:r>
        <w:rPr>
          <w:i/>
          <w:iCs/>
        </w:rPr>
        <w:t xml:space="preserve">deposit</w:t>
      </w:r>
      <w:r>
        <w:t xml:space="preserve"> is the onlap-like case (the younger unit sits on top and does not destroy what is below), and </w:t>
      </w:r>
      <w:r>
        <w:rPr>
          <w:i/>
          <w:iCs/>
        </w:rPr>
        <w:t xml:space="preserve">erosion</w:t>
      </w:r>
      <w:r>
        <w:t xml:space="preserve"> is the erode case.</w:t>
      </w:r>
    </w:p>
    <w:p>
      <w:pPr>
        <w:spacing w:after="160" w:line="276"/>
      </w:pPr>
      <w:r>
        <w:t xml:space="preserve">Where Leapfrog </w:t>
      </w:r>
      <w:r>
        <w:rPr>
          <w:b/>
          <w:bCs/>
        </w:rPr>
        <w:t xml:space="preserve">departs</w:t>
      </w:r>
      <w:r>
        <w:t xml:space="preserve"> from the others is in treating intrusion and vein as first-class surface types with their own cutting semantics rather than as separate modelling subsystems. Conceptually, a Leapfrog intrusion is still 'younger wins, fill the inside' — a sign-flipped erosion pointed at a closed body rather than a stratigraphic top. The unification is total: four types, one chronology, one younger-wins rule. The cost is that 'conformable' is not represented at all as a relationship — it is simply what a deposit does when no erosion or intrusion overrides it.</w:t>
      </w:r>
    </w:p>
    <w:p>
      <w:pPr>
        <w:pStyle w:val="Heading1"/>
      </w:pPr>
      <w:r>
        <w:t xml:space="preserve">4. The Lajaunie–Calcagno potential-field formalism</w:t>
      </w:r>
    </w:p>
    <w:p>
      <w:pPr>
        <w:spacing w:after="160" w:line="276"/>
      </w:pPr>
      <w:r>
        <w:t xml:space="preserve">Beneath the open-source tools is the potential-field (or 'implicit') method of Lajaunie et al. (1997), generalised for whole-model construction by Calcagno et al. (2008). Its grammar is the most reduced of all four, and it is worth stating precisely because GemPy and LoopStructural are both implementations of it.</w:t>
      </w:r>
    </w:p>
    <w:p>
      <w:pPr>
        <w:spacing w:after="160" w:line="276"/>
      </w:pPr>
      <w:r>
        <w:t xml:space="preserve">A </w:t>
      </w:r>
      <w:r>
        <w:rPr>
          <w:b/>
          <w:bCs/>
          <w:color w:val="2E75B6"/>
        </w:rPr>
        <w:t xml:space="preserve">series</w:t>
      </w:r>
      <w:r>
        <w:t xml:space="preserve"> is a set of conformable interfaces modelled as isovalues of a single scalar potential field, interpolated by co-kriging of interface points and orientation data together. Within a series, the surfaces are parallel </w:t>
      </w:r>
      <w:r>
        <w:rPr>
          <w:i/>
          <w:iCs/>
        </w:rPr>
        <w:t xml:space="preserve">by construction</w:t>
      </w:r>
      <w:r>
        <w:t xml:space="preserve"> — they are level sets of the same field, so they share its gradient everywhere. A model is an ordered stack of series, and each series carries exactly one relationship to the series below it, drawn from a binary:</w:t>
      </w:r>
    </w:p>
    <w:p>
      <w:pPr>
        <w:pStyle w:val="ListParagraph"/>
        <w:numPr>
          <w:ilvl w:val="0"/>
          <w:numId w:val="2"/>
        </w:numPr>
        <w:spacing w:after="80" w:line="270"/>
      </w:pPr>
      <w:r>
        <w:rPr>
          <w:b/>
          <w:bCs/>
        </w:rPr>
        <w:t xml:space="preserve">erode</w:t>
      </w:r>
      <w:r>
        <w:t xml:space="preserve"> — the series' scalar field truncates (removes) everything on its older side that it reaches.</w:t>
      </w:r>
    </w:p>
    <w:p>
      <w:pPr>
        <w:pStyle w:val="ListParagraph"/>
        <w:numPr>
          <w:ilvl w:val="0"/>
          <w:numId w:val="2"/>
        </w:numPr>
        <w:spacing w:after="80" w:line="270"/>
      </w:pPr>
      <w:r>
        <w:rPr>
          <w:b/>
          <w:bCs/>
        </w:rPr>
        <w:t xml:space="preserve">onlap</w:t>
      </w:r>
      <w:r>
        <w:t xml:space="preserve"> — the older topography limits the younger series, which laps against it and pinches out; the younger series is present only where the field permits, and does not remove the older units.</w:t>
      </w:r>
    </w:p>
    <w:p>
      <w:pPr>
        <w:spacing w:after="160" w:line="276"/>
      </w:pPr>
      <w:r>
        <w:t xml:space="preserve">Faults are handled as a separate mechanism (a drift/offset applied to the scalar field of the series they affect), not as members of the erode/onlap vocabulary. The result is a grammar of remarkable economy: </w:t>
      </w:r>
      <w:r>
        <w:rPr>
          <w:b/>
          <w:bCs/>
        </w:rPr>
        <w:t xml:space="preserve">conformity is the intra-series default</w:t>
      </w:r>
      <w:r>
        <w:t xml:space="preserve"> (same field ⇒ concordant surfaces), and the only inter-series choices are erode or onlap. Everything a geologist would call an unconformity, a disconformity, or a depositional top collapses into one of those two cases plus the decision of where to draw series boundaries.</w:t>
      </w:r>
    </w:p>
    <w:p>
      <w:pPr>
        <w:spacing w:after="160" w:line="276"/>
      </w:pPr>
      <w:r>
        <w:t xml:space="preserve">This is the conceptual ancestor of Leapfrog's deposit/erosion toggle. The difference is one of exposure: Calcagno states the relationship as a property of a series in a stack; Leapfrog states it as a behaviour of a surface in a chronology. The mathematics is the same younger-wins-with-direction rule.</w:t>
      </w:r>
    </w:p>
    <w:p>
      <w:pPr>
        <w:pStyle w:val="Heading1"/>
      </w:pPr>
      <w:r>
        <w:t xml:space="preserve">5. GemPy: the formalism made explicit</w:t>
      </w:r>
    </w:p>
    <w:p>
      <w:pPr>
        <w:spacing w:after="160" w:line="276"/>
      </w:pPr>
      <w:r>
        <w:t xml:space="preserve">GemPy implements the Calcagno scheme almost literally, and its API is the clearest place to see the grammar named. Structural groups (series/stacks) are held in a </w:t>
      </w:r>
      <w:r>
        <w:rPr>
          <w:rFonts w:ascii="Consolas" w:cs="Consolas" w:eastAsia="Consolas" w:hAnsi="Consolas"/>
        </w:rPr>
        <w:t xml:space="preserve">StructuralFrame</w:t>
      </w:r>
      <w:r>
        <w:t xml:space="preserve">, and each group carries a </w:t>
      </w:r>
      <w:r>
        <w:rPr>
          <w:rFonts w:ascii="Consolas" w:cs="Consolas" w:eastAsia="Consolas" w:hAnsi="Consolas"/>
        </w:rPr>
        <w:t xml:space="preserve">structural_relation</w:t>
      </w:r>
      <w:r>
        <w:t xml:space="preserve"> of type </w:t>
      </w:r>
      <w:r>
        <w:rPr>
          <w:rFonts w:ascii="Consolas" w:cs="Consolas" w:eastAsia="Consolas" w:hAnsi="Consolas"/>
        </w:rPr>
        <w:t xml:space="preserve">StackRelationType</w:t>
      </w:r>
      <w:r>
        <w:t xml:space="preserve">, whose members are:</w:t>
      </w:r>
    </w:p>
    <w:p>
      <w:pPr>
        <w:shd w:fill="F2F4F6" w:val="clear"/>
        <w:spacing w:after="120" w:before="40"/>
      </w:pPr>
      <w:r>
        <w:rPr>
          <w:rFonts w:ascii="Consolas" w:cs="Consolas" w:eastAsia="Consolas" w:hAnsi="Consolas"/>
          <w:sz w:val="19"/>
          <w:szCs w:val="19"/>
        </w:rPr>
        <w:t xml:space="preserve">BASEMENT   ERODE   ONLAP   FAULT</w:t>
      </w:r>
    </w:p>
    <w:p>
      <w:pPr>
        <w:spacing w:after="160" w:line="276"/>
      </w:pPr>
      <w:r>
        <w:t xml:space="preserve">The default relation is </w:t>
      </w:r>
      <w:r>
        <w:rPr>
          <w:rFonts w:ascii="Consolas" w:cs="Consolas" w:eastAsia="Consolas" w:hAnsi="Consolas"/>
        </w:rPr>
        <w:t xml:space="preserve">ERODE</w:t>
      </w:r>
      <w:r>
        <w:t xml:space="preserve">; switching a group to </w:t>
      </w:r>
      <w:r>
        <w:rPr>
          <w:rFonts w:ascii="Consolas" w:cs="Consolas" w:eastAsia="Consolas" w:hAnsi="Consolas"/>
        </w:rPr>
        <w:t xml:space="preserve">ONLAP</w:t>
      </w:r>
      <w:r>
        <w:t xml:space="preserve"> changes the discontinuity type, and </w:t>
      </w:r>
      <w:r>
        <w:rPr>
          <w:rFonts w:ascii="Consolas" w:cs="Consolas" w:eastAsia="Consolas" w:hAnsi="Consolas"/>
        </w:rPr>
        <w:t xml:space="preserve">FAULT</w:t>
      </w:r>
      <w:r>
        <w:t xml:space="preserve"> marks the group as a fault (which must be younger than the groups it affects). </w:t>
      </w:r>
      <w:r>
        <w:rPr>
          <w:rFonts w:ascii="Consolas" w:cs="Consolas" w:eastAsia="Consolas" w:hAnsi="Consolas"/>
        </w:rPr>
        <w:t xml:space="preserve">BASEMENT</w:t>
      </w:r>
      <w:r>
        <w:t xml:space="preserve"> treats all lower groups as undifferentiated basement — the floor of the model.</w:t>
      </w:r>
    </w:p>
    <w:p>
      <w:pPr>
        <w:spacing w:after="160" w:line="276"/>
      </w:pPr>
      <w:r>
        <w:t xml:space="preserve">Crucially, GemPy is explicit that </w:t>
      </w:r>
      <w:r>
        <w:rPr>
          <w:b/>
          <w:bCs/>
        </w:rPr>
        <w:t xml:space="preserve">each structural group has its own scalar field</w:t>
      </w:r>
      <w:r>
        <w:t xml:space="preserve">, defined by the data of all its elements; a surface is one isovalue of that field, and a second surface in the same group is simply a different isovalue. This makes the 'conformity = shared field' identity literal: two surfaces are conformable in GemPy if and only if they belong to the same group. The erode/onlap relation is a property </w:t>
      </w:r>
      <w:r>
        <w:rPr>
          <w:i/>
          <w:iCs/>
        </w:rPr>
        <w:t xml:space="preserve">between</w:t>
      </w:r>
      <w:r>
        <w:t xml:space="preserve"> fields, evaluated by dedicated logic (historically the </w:t>
      </w:r>
      <w:r>
        <w:rPr>
          <w:rFonts w:ascii="Consolas" w:cs="Consolas" w:eastAsia="Consolas" w:hAnsi="Consolas"/>
        </w:rPr>
        <w:t xml:space="preserve">set_onlap_erode</w:t>
      </w:r>
      <w:r>
        <w:t xml:space="preserve"> relations in the interpolator).</w:t>
      </w:r>
    </w:p>
    <w:p>
      <w:pPr>
        <w:spacing w:after="160" w:line="276"/>
      </w:pPr>
      <w:r>
        <w:t xml:space="preserve">GemPy therefore occupies the 'pure formalism' position: no intrusion type, no vein type, no surface-level cutting behaviour. An intrusion, if modelled, is expressed as a series with an erode relation and appropriate data, not as a distinct constructive object. The grammar is exactly Calcagno's — </w:t>
      </w:r>
      <w:r>
        <w:rPr>
          <w:i/>
          <w:iCs/>
        </w:rPr>
        <w:t xml:space="preserve">erode, onlap, fault, basement</w:t>
      </w:r>
      <w:r>
        <w:t xml:space="preserve"> — with conformity emergent inside each series.</w:t>
      </w:r>
    </w:p>
    <w:p>
      <w:pPr>
        <w:pStyle w:val="Heading1"/>
      </w:pPr>
      <w:r>
        <w:t xml:space="preserve">6. LoopStructural: declarative grammar, region-mask mechanism</w:t>
      </w:r>
    </w:p>
    <w:p>
      <w:pPr>
        <w:spacing w:after="160" w:line="276"/>
      </w:pPr>
      <w:r>
        <w:t xml:space="preserve">LoopStructural separates the grammar into two layers that are worth treating independently, because the design is unusually legible.</w:t>
      </w:r>
    </w:p>
    <w:p>
      <w:pPr>
        <w:pStyle w:val="Heading2"/>
      </w:pPr>
      <w:r>
        <w:t xml:space="preserve">6.1 The declared grammar</w:t>
      </w:r>
    </w:p>
    <w:p>
      <w:pPr>
        <w:spacing w:after="160" w:line="276"/>
      </w:pPr>
      <w:r>
        <w:t xml:space="preserve">In </w:t>
      </w:r>
      <w:r>
        <w:rPr>
          <w:rFonts w:ascii="Consolas" w:cs="Consolas" w:eastAsia="Consolas" w:hAnsi="Consolas"/>
        </w:rPr>
        <w:t xml:space="preserve">modelling/core/stratigraphic_column.py</w:t>
      </w:r>
      <w:r>
        <w:t xml:space="preserve">, the conceptual model is an ordered </w:t>
      </w:r>
      <w:r>
        <w:rPr>
          <w:rFonts w:ascii="Consolas" w:cs="Consolas" w:eastAsia="Consolas" w:hAnsi="Consolas"/>
        </w:rPr>
        <w:t xml:space="preserve">StratigraphicColumn</w:t>
      </w:r>
      <w:r>
        <w:t xml:space="preserve"> of units and unconformities. The unconformity relationship is a two-valued enumeration, identical to Calcagno's:</w:t>
      </w:r>
    </w:p>
    <w:p>
      <w:pPr>
        <w:shd w:fill="F2F4F6" w:val="clear"/>
        <w:spacing w:after="120" w:before="40"/>
      </w:pPr>
      <w:r>
        <w:rPr>
          <w:rFonts w:ascii="Consolas" w:cs="Consolas" w:eastAsia="Consolas" w:hAnsi="Consolas"/>
          <w:sz w:val="19"/>
          <w:szCs w:val="19"/>
        </w:rPr>
        <w:t xml:space="preserve">class UnconformityType(enum.Enum):
    ERODE  = 'erode'
    ONLAP  = 'onlap'</w:t>
      </w:r>
    </w:p>
    <w:p>
      <w:pPr>
        <w:spacing w:after="160" w:line="276"/>
      </w:pPr>
      <w:r>
        <w:t xml:space="preserve">The column auto-seeds with a basement and a </w:t>
      </w:r>
      <w:r>
        <w:rPr>
          <w:i/>
          <w:iCs/>
        </w:rPr>
        <w:t xml:space="preserve">base erosional unconformity</w:t>
      </w:r>
      <w:r>
        <w:t xml:space="preserve">, and </w:t>
      </w:r>
      <w:r>
        <w:rPr>
          <w:rFonts w:ascii="Consolas" w:cs="Consolas" w:eastAsia="Consolas" w:hAnsi="Consolas"/>
        </w:rPr>
        <w:t xml:space="preserve">ERODE</w:t>
      </w:r>
      <w:r>
        <w:t xml:space="preserve"> is the default everywhere. As in GemPy, conformity is not a member of this enum: units stacked between two unconformities are conformable because they share a scalar field, not because a 'conformable' relationship was declared.</w:t>
      </w:r>
    </w:p>
    <w:p>
      <w:pPr>
        <w:pStyle w:val="Heading2"/>
      </w:pPr>
      <w:r>
        <w:t xml:space="preserve">6.2 The constructive mechanism</w:t>
      </w:r>
    </w:p>
    <w:p>
      <w:pPr>
        <w:spacing w:after="160" w:line="276"/>
      </w:pPr>
      <w:r>
        <w:t xml:space="preserve">Operationally, an unconformity is a </w:t>
      </w:r>
      <w:r>
        <w:rPr>
          <w:rFonts w:ascii="Consolas" w:cs="Consolas" w:eastAsia="Consolas" w:hAnsi="Consolas"/>
        </w:rPr>
        <w:t xml:space="preserve">GeologicalFeature</w:t>
      </w:r>
      <w:r>
        <w:t xml:space="preserve"> subclass (</w:t>
      </w:r>
      <w:r>
        <w:rPr>
          <w:rFonts w:ascii="Consolas" w:cs="Consolas" w:eastAsia="Consolas" w:hAnsi="Consolas"/>
        </w:rPr>
        <w:t xml:space="preserve">UnconformityFeature</w:t>
      </w:r>
      <w:r>
        <w:t xml:space="preserve">) that evaluates to a boolean rather than a scalar — it thresholds a scalar field at a value and returns a region mask:</w:t>
      </w:r>
    </w:p>
    <w:p>
      <w:pPr>
        <w:shd w:fill="F2F4F6" w:val="clear"/>
        <w:spacing w:after="120" w:before="40"/>
      </w:pPr>
      <w:r>
        <w:rPr>
          <w:rFonts w:ascii="Consolas" w:cs="Consolas" w:eastAsia="Consolas" w:hAnsi="Consolas"/>
          <w:sz w:val="19"/>
          <w:szCs w:val="19"/>
        </w:rPr>
        <w:t xml:space="preserve">def evaluate(self, pos):
    if self.sign:      return self.evaluate_value(pos) &lt;= self.value
    if not self.sign:  return self.evaluate_value(pos) &gt;= self.value</w:t>
      </w:r>
    </w:p>
    <w:p>
      <w:pPr>
        <w:spacing w:after="160" w:line="276"/>
      </w:pPr>
      <w:r>
        <w:t xml:space="preserve">The </w:t>
      </w:r>
      <w:r>
        <w:rPr>
          <w:rFonts w:ascii="Consolas" w:cs="Consolas" w:eastAsia="Consolas" w:hAnsi="Consolas"/>
        </w:rPr>
        <w:t xml:space="preserve">FeatureType</w:t>
      </w:r>
      <w:r>
        <w:t xml:space="preserve"> enum enumerates the full constructive vocabulary — </w:t>
      </w:r>
      <w:r>
        <w:rPr>
          <w:rFonts w:ascii="Consolas" w:cs="Consolas" w:eastAsia="Consolas" w:hAnsi="Consolas"/>
        </w:rPr>
        <w:t xml:space="preserve">UNCONFORMITY</w:t>
      </w:r>
      <w:r>
        <w:t xml:space="preserve">, </w:t>
      </w:r>
      <w:r>
        <w:rPr>
          <w:rFonts w:ascii="Consolas" w:cs="Consolas" w:eastAsia="Consolas" w:hAnsi="Consolas"/>
        </w:rPr>
        <w:t xml:space="preserve">ONLAPUNCONFORMITY</w:t>
      </w:r>
      <w:r>
        <w:t xml:space="preserve">, </w:t>
      </w:r>
      <w:r>
        <w:rPr>
          <w:rFonts w:ascii="Consolas" w:cs="Consolas" w:eastAsia="Consolas" w:hAnsi="Consolas"/>
        </w:rPr>
        <w:t xml:space="preserve">INTRUSION</w:t>
      </w:r>
      <w:r>
        <w:t xml:space="preserve">, </w:t>
      </w:r>
      <w:r>
        <w:rPr>
          <w:rFonts w:ascii="Consolas" w:cs="Consolas" w:eastAsia="Consolas" w:hAnsi="Consolas"/>
        </w:rPr>
        <w:t xml:space="preserve">FAULT</w:t>
      </w:r>
      <w:r>
        <w:t xml:space="preserve">, </w:t>
      </w:r>
      <w:r>
        <w:rPr>
          <w:rFonts w:ascii="Consolas" w:cs="Consolas" w:eastAsia="Consolas" w:hAnsi="Consolas"/>
        </w:rPr>
        <w:t xml:space="preserve">DOMAINFAULT</w:t>
      </w:r>
      <w:r>
        <w:t xml:space="preserve">, </w:t>
      </w:r>
      <w:r>
        <w:rPr>
          <w:rFonts w:ascii="Consolas" w:cs="Consolas" w:eastAsia="Consolas" w:hAnsi="Consolas"/>
        </w:rPr>
        <w:t xml:space="preserve">INACTIVEFAULT</w:t>
      </w:r>
      <w:r>
        <w:t xml:space="preserve"> — and, tellingly, erode and onlap are </w:t>
      </w:r>
      <w:r>
        <w:rPr>
          <w:b/>
          <w:bCs/>
        </w:rPr>
        <w:t xml:space="preserve">distinct feature types</w:t>
      </w:r>
      <w:r>
        <w:t xml:space="preserve"> here (UNCONFORMITY vs ONLAPUNCONFORMITY) because they apply their masks in opposite directions. Cutting is performed by attaching region masks to features: a feature is evaluated only where its regions return true, so constructive solid geometry is implemented as boolean region intersection, never mesh surgery.</w:t>
      </w:r>
    </w:p>
    <w:p>
      <w:pPr>
        <w:spacing w:after="160" w:line="276"/>
      </w:pPr>
      <w:r>
        <w:t xml:space="preserve">The two builder methods on the model encode the propagation rules. </w:t>
      </w:r>
      <w:r>
        <w:rPr>
          <w:rFonts w:ascii="Consolas" w:cs="Consolas" w:eastAsia="Consolas" w:hAnsi="Consolas"/>
        </w:rPr>
        <w:t xml:space="preserve">add_unconformity</w:t>
      </w:r>
      <w:r>
        <w:t xml:space="preserve"> (erode) walks backwards through the feature list adding the unconformity as a region to every older feature </w:t>
      </w:r>
      <w:r>
        <w:rPr>
          <w:i/>
          <w:iCs/>
        </w:rPr>
        <w:t xml:space="preserve">until it reaches another unconformity, then stops</w:t>
      </w:r>
      <w:r>
        <w:t xml:space="preserve"> — the chronological-bracket rule. </w:t>
      </w:r>
      <w:r>
        <w:rPr>
          <w:rFonts w:ascii="Consolas" w:cs="Consolas" w:eastAsia="Consolas" w:hAnsi="Consolas"/>
        </w:rPr>
        <w:t xml:space="preserve">add_onlap_unconformity</w:t>
      </w:r>
      <w:r>
        <w:t xml:space="preserve"> mirrors this but </w:t>
      </w:r>
      <w:r>
        <w:rPr>
          <w:i/>
          <w:iCs/>
        </w:rPr>
        <w:t xml:space="preserve">skips past</w:t>
      </w:r>
      <w:r>
        <w:t xml:space="preserve"> existing unconformities instead of stopping, and adds the inverted feature so the mask propagates in the opposite sense. The asymmetry is explicit in the helper </w:t>
      </w:r>
      <w:r>
        <w:rPr>
          <w:rFonts w:ascii="Consolas" w:cs="Consolas" w:eastAsia="Consolas" w:hAnsi="Consolas"/>
        </w:rPr>
        <w:t xml:space="preserve">_add_unconformity_above</w:t>
      </w:r>
      <w:r>
        <w:t xml:space="preserve">, which stops at a plain unconformity but breaks immediately on an onlap unconformity.</w:t>
      </w:r>
    </w:p>
    <w:p>
      <w:pPr>
        <w:pStyle w:val="Heading2"/>
      </w:pPr>
      <w:r>
        <w:t xml:space="preserve">6.3 Intrusions and faults as separate subsystems</w:t>
      </w:r>
    </w:p>
    <w:p>
      <w:pPr>
        <w:spacing w:after="160" w:line="276"/>
      </w:pPr>
      <w:r>
        <w:t xml:space="preserve">Like GemPy and unlike Leapfrog, LoopStructural does </w:t>
      </w:r>
      <w:r>
        <w:rPr>
          <w:b/>
          <w:bCs/>
        </w:rPr>
        <w:t xml:space="preserve">not</w:t>
      </w:r>
      <w:r>
        <w:t xml:space="preserve"> treat an intrusion as a clipping surface. The </w:t>
      </w:r>
      <w:r>
        <w:rPr>
          <w:rFonts w:ascii="Consolas" w:cs="Consolas" w:eastAsia="Consolas" w:hAnsi="Consolas"/>
        </w:rPr>
        <w:t xml:space="preserve">modelling/intrusions/</w:t>
      </w:r>
      <w:r>
        <w:t xml:space="preserve"> subsystem builds an intrusion in its own structural frame using conceptual geometry models — explicit lateral and vertical extent (growth) functions — so the body is </w:t>
      </w:r>
      <w:r>
        <w:rPr>
          <w:i/>
          <w:iCs/>
        </w:rPr>
        <w:t xml:space="preserve">positively modelled</w:t>
      </w:r>
      <w:r>
        <w:t xml:space="preserve"> as a thresholded envelope rather than carved out by a younger-wins cut. Faults likewise live in </w:t>
      </w:r>
      <w:r>
        <w:rPr>
          <w:rFonts w:ascii="Consolas" w:cs="Consolas" w:eastAsia="Consolas" w:hAnsi="Consolas"/>
        </w:rPr>
        <w:t xml:space="preserve">modelling/features/fault/</w:t>
      </w:r>
      <w:r>
        <w:t xml:space="preserve"> and are applied ahead of unconformities in the region logic. A </w:t>
      </w:r>
      <w:r>
        <w:rPr>
          <w:rFonts w:ascii="Consolas" w:cs="Consolas" w:eastAsia="Consolas" w:hAnsi="Consolas"/>
        </w:rPr>
        <w:t xml:space="preserve">DOMAINFAULT</w:t>
      </w:r>
      <w:r>
        <w:t xml:space="preserve"> is the interesting hybrid: built as a fault but then wrapped in an </w:t>
      </w:r>
      <w:r>
        <w:rPr>
          <w:rFonts w:ascii="Consolas" w:cs="Consolas" w:eastAsia="Consolas" w:hAnsi="Consolas"/>
        </w:rPr>
        <w:t xml:space="preserve">UnconformityFeature</w:t>
      </w:r>
      <w:r>
        <w:t xml:space="preserve"> so it can act as a domain wall that masks features on one side — a fault borrowing unconformity semantics.</w:t>
      </w:r>
    </w:p>
    <w:p>
      <w:r>
        <w:br w:type="page"/>
      </w:r>
    </w:p>
    <w:p>
      <w:pPr>
        <w:pStyle w:val="Heading1"/>
      </w:pPr>
      <w:r>
        <w:t xml:space="preserve">7. Synthesis: the same grammar, four exposures</w:t>
      </w:r>
    </w:p>
    <w:p>
      <w:pPr>
        <w:spacing w:after="160" w:line="276"/>
      </w:pPr>
      <w:r>
        <w:t xml:space="preserve">The table below aligns the four systems on the axes that actually distinguish them. Read across a row to see how one concept is expressed in each.</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2090"/>
        <w:gridCol w:w="1990"/>
        <w:gridCol w:w="1990"/>
        <w:gridCol w:w="1990"/>
      </w:tblGrid>
      <w:tr>
        <w:trPr>
          <w:tblHeader/>
        </w:trPr>
        <w:tc>
          <w:tcPr>
            <w:tcW w:type="dxa" w:w="1500"/>
            <w:tcBorders>
              <w:top w:val="single" w:color="BFCAD1" w:sz="1"/>
              <w:left w:val="single" w:color="BFCAD1" w:sz="1"/>
              <w:bottom w:val="single" w:color="BFCAD1" w:sz="1"/>
              <w:right w:val="single" w:color="BFCAD1" w:sz="1"/>
            </w:tcBorders>
            <w:shd w:fill="1F4E5F" w:val="clear"/>
            <w:tcMar>
              <w:top w:type="dxa" w:w="70"/>
              <w:left w:type="dxa" w:w="110"/>
              <w:bottom w:type="dxa" w:w="70"/>
              <w:right w:type="dxa" w:w="110"/>
            </w:tcMar>
          </w:tcPr>
          <w:p>
            <w:r>
              <w:rPr>
                <w:b/>
                <w:bCs/>
                <w:color w:val="FFFFFF"/>
                <w:sz w:val="19"/>
                <w:szCs w:val="19"/>
              </w:rPr>
              <w:t xml:space="preserve">Axis</w:t>
            </w:r>
          </w:p>
        </w:tc>
        <w:tc>
          <w:tcPr>
            <w:tcW w:type="dxa" w:w="2090"/>
            <w:tcBorders>
              <w:top w:val="single" w:color="BFCAD1" w:sz="1"/>
              <w:left w:val="single" w:color="BFCAD1" w:sz="1"/>
              <w:bottom w:val="single" w:color="BFCAD1" w:sz="1"/>
              <w:right w:val="single" w:color="BFCAD1" w:sz="1"/>
            </w:tcBorders>
            <w:shd w:fill="1F4E5F" w:val="clear"/>
            <w:tcMar>
              <w:top w:type="dxa" w:w="70"/>
              <w:left w:type="dxa" w:w="110"/>
              <w:bottom w:type="dxa" w:w="70"/>
              <w:right w:type="dxa" w:w="110"/>
            </w:tcMar>
          </w:tcPr>
          <w:p>
            <w:r>
              <w:rPr>
                <w:b/>
                <w:bCs/>
                <w:color w:val="FFFFFF"/>
                <w:sz w:val="19"/>
                <w:szCs w:val="19"/>
              </w:rPr>
              <w:t xml:space="preserve">Leapfrog</w:t>
            </w:r>
          </w:p>
        </w:tc>
        <w:tc>
          <w:tcPr>
            <w:tcW w:type="dxa" w:w="1990"/>
            <w:tcBorders>
              <w:top w:val="single" w:color="BFCAD1" w:sz="1"/>
              <w:left w:val="single" w:color="BFCAD1" w:sz="1"/>
              <w:bottom w:val="single" w:color="BFCAD1" w:sz="1"/>
              <w:right w:val="single" w:color="BFCAD1" w:sz="1"/>
            </w:tcBorders>
            <w:shd w:fill="1F4E5F" w:val="clear"/>
            <w:tcMar>
              <w:top w:type="dxa" w:w="70"/>
              <w:left w:type="dxa" w:w="110"/>
              <w:bottom w:type="dxa" w:w="70"/>
              <w:right w:type="dxa" w:w="110"/>
            </w:tcMar>
          </w:tcPr>
          <w:p>
            <w:r>
              <w:rPr>
                <w:b/>
                <w:bCs/>
                <w:color w:val="FFFFFF"/>
                <w:sz w:val="19"/>
                <w:szCs w:val="19"/>
              </w:rPr>
              <w:t xml:space="preserve">Calcagno (formalism)</w:t>
            </w:r>
          </w:p>
        </w:tc>
        <w:tc>
          <w:tcPr>
            <w:tcW w:type="dxa" w:w="1990"/>
            <w:tcBorders>
              <w:top w:val="single" w:color="BFCAD1" w:sz="1"/>
              <w:left w:val="single" w:color="BFCAD1" w:sz="1"/>
              <w:bottom w:val="single" w:color="BFCAD1" w:sz="1"/>
              <w:right w:val="single" w:color="BFCAD1" w:sz="1"/>
            </w:tcBorders>
            <w:shd w:fill="1F4E5F" w:val="clear"/>
            <w:tcMar>
              <w:top w:type="dxa" w:w="70"/>
              <w:left w:type="dxa" w:w="110"/>
              <w:bottom w:type="dxa" w:w="70"/>
              <w:right w:type="dxa" w:w="110"/>
            </w:tcMar>
          </w:tcPr>
          <w:p>
            <w:r>
              <w:rPr>
                <w:b/>
                <w:bCs/>
                <w:color w:val="FFFFFF"/>
                <w:sz w:val="19"/>
                <w:szCs w:val="19"/>
              </w:rPr>
              <w:t xml:space="preserve">GemPy</w:t>
            </w:r>
          </w:p>
        </w:tc>
        <w:tc>
          <w:tcPr>
            <w:tcW w:type="dxa" w:w="1990"/>
            <w:tcBorders>
              <w:top w:val="single" w:color="BFCAD1" w:sz="1"/>
              <w:left w:val="single" w:color="BFCAD1" w:sz="1"/>
              <w:bottom w:val="single" w:color="BFCAD1" w:sz="1"/>
              <w:right w:val="single" w:color="BFCAD1" w:sz="1"/>
            </w:tcBorders>
            <w:shd w:fill="1F4E5F" w:val="clear"/>
            <w:tcMar>
              <w:top w:type="dxa" w:w="70"/>
              <w:left w:type="dxa" w:w="110"/>
              <w:bottom w:type="dxa" w:w="70"/>
              <w:right w:type="dxa" w:w="110"/>
            </w:tcMar>
          </w:tcPr>
          <w:p>
            <w:r>
              <w:rPr>
                <w:b/>
                <w:bCs/>
                <w:color w:val="FFFFFF"/>
                <w:sz w:val="19"/>
                <w:szCs w:val="19"/>
              </w:rPr>
              <w:t xml:space="preserve">LoopStructural</w:t>
            </w:r>
          </w:p>
        </w:tc>
      </w:tr>
      <w:tr>
        <w:tc>
          <w:tcPr>
            <w:tcW w:type="dxa" w:w="150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Primitive unit</w:t>
            </w:r>
          </w:p>
        </w:tc>
        <w:tc>
          <w:tcPr>
            <w:tcW w:type="dxa" w:w="20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Contact surface (typed)</w:t>
            </w:r>
          </w:p>
        </w:tc>
        <w:tc>
          <w:tcPr>
            <w:tcW w:type="dxa" w:w="19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Series (group of conformable interfaces)</w:t>
            </w:r>
          </w:p>
        </w:tc>
        <w:tc>
          <w:tcPr>
            <w:tcW w:type="dxa" w:w="19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Structural group / series</w:t>
            </w:r>
          </w:p>
        </w:tc>
        <w:tc>
          <w:tcPr>
            <w:tcW w:type="dxa" w:w="19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Stratigraphic unit + unconformity element</w:t>
            </w:r>
          </w:p>
        </w:tc>
      </w:tr>
      <w:tr>
        <w:tc>
          <w:tcPr>
            <w:tcW w:type="dxa" w:w="150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Fundamental relations</w:t>
            </w:r>
          </w:p>
        </w:tc>
        <w:tc>
          <w:tcPr>
            <w:tcW w:type="dxa" w:w="209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Deposit, Erosion, Intrusion, Vein</w:t>
            </w:r>
          </w:p>
        </w:tc>
        <w:tc>
          <w:tcPr>
            <w:tcW w:type="dxa" w:w="199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Erode, Onlap (+ fault separately)</w:t>
            </w:r>
          </w:p>
        </w:tc>
        <w:tc>
          <w:tcPr>
            <w:tcW w:type="dxa" w:w="199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ERODE, ONLAP, FAULT, BASEMENT</w:t>
            </w:r>
          </w:p>
        </w:tc>
        <w:tc>
          <w:tcPr>
            <w:tcW w:type="dxa" w:w="199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ERODE, ONLAP (+ fault, domain fault)</w:t>
            </w:r>
          </w:p>
        </w:tc>
      </w:tr>
      <w:tr>
        <w:tc>
          <w:tcPr>
            <w:tcW w:type="dxa" w:w="150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How conformity is expressed</w:t>
            </w:r>
          </w:p>
        </w:tc>
        <w:tc>
          <w:tcPr>
            <w:tcW w:type="dxa" w:w="20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Emergent: a deposit that nothing overrides</w:t>
            </w:r>
          </w:p>
        </w:tc>
        <w:tc>
          <w:tcPr>
            <w:tcW w:type="dxa" w:w="19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Emergent: shared scalar field within a series</w:t>
            </w:r>
          </w:p>
        </w:tc>
        <w:tc>
          <w:tcPr>
            <w:tcW w:type="dxa" w:w="19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Emergent: same structural group = one field</w:t>
            </w:r>
          </w:p>
        </w:tc>
        <w:tc>
          <w:tcPr>
            <w:tcW w:type="dxa" w:w="19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Emergent: same field between unconformities</w:t>
            </w:r>
          </w:p>
        </w:tc>
      </w:tr>
      <w:tr>
        <w:tc>
          <w:tcPr>
            <w:tcW w:type="dxa" w:w="150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Erode vs onlap</w:t>
            </w:r>
          </w:p>
        </w:tc>
        <w:tc>
          <w:tcPr>
            <w:tcW w:type="dxa" w:w="209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Deposit (onlap-like) vs Erosion toggle; cut older side or not</w:t>
            </w:r>
          </w:p>
        </w:tc>
        <w:tc>
          <w:tcPr>
            <w:tcW w:type="dxa" w:w="199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The single binary choice per series</w:t>
            </w:r>
          </w:p>
        </w:tc>
        <w:tc>
          <w:tcPr>
            <w:tcW w:type="dxa" w:w="199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StackRelationType member per group</w:t>
            </w:r>
          </w:p>
        </w:tc>
        <w:tc>
          <w:tcPr>
            <w:tcW w:type="dxa" w:w="199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UnconformityType enum + opposite mask direction</w:t>
            </w:r>
          </w:p>
        </w:tc>
      </w:tr>
      <w:tr>
        <w:tc>
          <w:tcPr>
            <w:tcW w:type="dxa" w:w="150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Intrusion</w:t>
            </w:r>
          </w:p>
        </w:tc>
        <w:tc>
          <w:tcPr>
            <w:tcW w:type="dxa" w:w="20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First-class surface type (fill inside)</w:t>
            </w:r>
          </w:p>
        </w:tc>
        <w:tc>
          <w:tcPr>
            <w:tcW w:type="dxa" w:w="19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Not distinguished; a series with erode</w:t>
            </w:r>
          </w:p>
        </w:tc>
        <w:tc>
          <w:tcPr>
            <w:tcW w:type="dxa" w:w="19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Not distinguished; a series with erode</w:t>
            </w:r>
          </w:p>
        </w:tc>
        <w:tc>
          <w:tcPr>
            <w:tcW w:type="dxa" w:w="19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Separate subsystem: conceptual extent functions</w:t>
            </w:r>
          </w:p>
        </w:tc>
      </w:tr>
      <w:tr>
        <w:tc>
          <w:tcPr>
            <w:tcW w:type="dxa" w:w="150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Vein</w:t>
            </w:r>
          </w:p>
        </w:tc>
        <w:tc>
          <w:tcPr>
            <w:tcW w:type="dxa" w:w="209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First-class surface type (HW/FW + reference)</w:t>
            </w:r>
          </w:p>
        </w:tc>
        <w:tc>
          <w:tcPr>
            <w:tcW w:type="dxa" w:w="199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Not distinguished</w:t>
            </w:r>
          </w:p>
        </w:tc>
        <w:tc>
          <w:tcPr>
            <w:tcW w:type="dxa" w:w="199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Not distinguished</w:t>
            </w:r>
          </w:p>
        </w:tc>
        <w:tc>
          <w:tcPr>
            <w:tcW w:type="dxa" w:w="199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Not a first-class contact type</w:t>
            </w:r>
          </w:p>
        </w:tc>
      </w:tr>
      <w:tr>
        <w:tc>
          <w:tcPr>
            <w:tcW w:type="dxa" w:w="150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Fault</w:t>
            </w:r>
          </w:p>
        </w:tc>
        <w:tc>
          <w:tcPr>
            <w:tcW w:type="dxa" w:w="20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Separate (fault interaction object)</w:t>
            </w:r>
          </w:p>
        </w:tc>
        <w:tc>
          <w:tcPr>
            <w:tcW w:type="dxa" w:w="19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Separate (drift on scalar field)</w:t>
            </w:r>
          </w:p>
        </w:tc>
        <w:tc>
          <w:tcPr>
            <w:tcW w:type="dxa" w:w="19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FAULT relation + fault_relations matrix</w:t>
            </w:r>
          </w:p>
        </w:tc>
        <w:tc>
          <w:tcPr>
            <w:tcW w:type="dxa" w:w="19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Separate fault subsystem; DOMAINFAULT hybrid</w:t>
            </w:r>
          </w:p>
        </w:tc>
      </w:tr>
      <w:tr>
        <w:tc>
          <w:tcPr>
            <w:tcW w:type="dxa" w:w="150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Interpolation unit</w:t>
            </w:r>
          </w:p>
        </w:tc>
        <w:tc>
          <w:tcPr>
            <w:tcW w:type="dxa" w:w="209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Per surface (RBF, own data + trend)</w:t>
            </w:r>
          </w:p>
        </w:tc>
        <w:tc>
          <w:tcPr>
            <w:tcW w:type="dxa" w:w="199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Per series (co-kriged field)</w:t>
            </w:r>
          </w:p>
        </w:tc>
        <w:tc>
          <w:tcPr>
            <w:tcW w:type="dxa" w:w="199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Per series (one scalar field each)</w:t>
            </w:r>
          </w:p>
        </w:tc>
        <w:tc>
          <w:tcPr>
            <w:tcW w:type="dxa" w:w="1990"/>
            <w:tcBorders>
              <w:top w:val="single" w:color="BFCAD1" w:sz="1"/>
              <w:left w:val="single" w:color="BFCAD1" w:sz="1"/>
              <w:bottom w:val="single" w:color="BFCAD1" w:sz="1"/>
              <w:right w:val="single" w:color="BFCAD1" w:sz="1"/>
            </w:tcBorders>
            <w:shd w:fill="EAF1F5" w:val="clear"/>
            <w:tcMar>
              <w:top w:type="dxa" w:w="60"/>
              <w:left w:type="dxa" w:w="110"/>
              <w:bottom w:type="dxa" w:w="60"/>
              <w:right w:type="dxa" w:w="110"/>
            </w:tcMar>
          </w:tcPr>
          <w:p>
            <w:r>
              <w:rPr>
                <w:sz w:val="19"/>
                <w:szCs w:val="19"/>
              </w:rPr>
              <w:t xml:space="preserve">Per feature/series (scalar field, thresholded)</w:t>
            </w:r>
          </w:p>
        </w:tc>
      </w:tr>
      <w:tr>
        <w:tc>
          <w:tcPr>
            <w:tcW w:type="dxa" w:w="150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Constructive mechanism</w:t>
            </w:r>
          </w:p>
        </w:tc>
        <w:tc>
          <w:tcPr>
            <w:tcW w:type="dxa" w:w="20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Volume cutting in surface chronology</w:t>
            </w:r>
          </w:p>
        </w:tc>
        <w:tc>
          <w:tcPr>
            <w:tcW w:type="dxa" w:w="19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Scalar-field superposition rules</w:t>
            </w:r>
          </w:p>
        </w:tc>
        <w:tc>
          <w:tcPr>
            <w:tcW w:type="dxa" w:w="19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Scalar-field onlap/erode logic</w:t>
            </w:r>
          </w:p>
        </w:tc>
        <w:tc>
          <w:tcPr>
            <w:tcW w:type="dxa" w:w="1990"/>
            <w:tcBorders>
              <w:top w:val="single" w:color="BFCAD1" w:sz="1"/>
              <w:left w:val="single" w:color="BFCAD1" w:sz="1"/>
              <w:bottom w:val="single" w:color="BFCAD1" w:sz="1"/>
              <w:right w:val="single" w:color="BFCAD1" w:sz="1"/>
            </w:tcBorders>
            <w:shd w:fill="FFFFFF" w:val="clear"/>
            <w:tcMar>
              <w:top w:type="dxa" w:w="60"/>
              <w:left w:type="dxa" w:w="110"/>
              <w:bottom w:type="dxa" w:w="60"/>
              <w:right w:type="dxa" w:w="110"/>
            </w:tcMar>
          </w:tcPr>
          <w:p>
            <w:r>
              <w:rPr>
                <w:sz w:val="19"/>
                <w:szCs w:val="19"/>
              </w:rPr>
              <w:t xml:space="preserve">Boolean region masks on features</w:t>
            </w:r>
          </w:p>
        </w:tc>
      </w:tr>
    </w:tbl>
    <w:p>
      <w:pPr>
        <w:spacing w:after="60" w:line="276"/>
      </w:pPr>
    </w:p>
    <w:p>
      <w:pPr>
        <w:pStyle w:val="Heading1"/>
      </w:pPr>
      <w:r>
        <w:t xml:space="preserve">8. Where the real disagreements lie</w:t>
      </w:r>
    </w:p>
    <w:p>
      <w:pPr>
        <w:pStyle w:val="Heading2"/>
      </w:pPr>
      <w:r>
        <w:t xml:space="preserve">8.1 Conformity: declared or emergent?</w:t>
      </w:r>
    </w:p>
    <w:p>
      <w:pPr>
        <w:spacing w:after="160" w:line="276"/>
      </w:pPr>
      <w:r>
        <w:t xml:space="preserve">None of the four systems treats conformity as a first-class relationship — but for two different reasons. In the potential-field tools (Calcagno, GemPy, LoopStructural) conformity is a </w:t>
      </w:r>
      <w:r>
        <w:rPr>
          <w:b/>
          <w:bCs/>
        </w:rPr>
        <w:t xml:space="preserve">geometric consequence</w:t>
      </w:r>
      <w:r>
        <w:t xml:space="preserve"> of co-kriging: surfaces in one series are level sets of one field and are therefore parallel by fiat. In Leapfrog conformity is a </w:t>
      </w:r>
      <w:r>
        <w:rPr>
          <w:b/>
          <w:bCs/>
        </w:rPr>
        <w:t xml:space="preserve">behavioural consequence</w:t>
      </w:r>
      <w:r>
        <w:t xml:space="preserve">: a deposit simply does not cut what is below it, and each surface is independently interpolated from its own data and trend. This is not a cosmetic distinction. It means the systems bet on different things being smooth.</w:t>
      </w:r>
    </w:p>
    <w:p>
      <w:pPr>
        <w:spacing w:after="160" w:line="276"/>
      </w:pPr>
      <w:r>
        <w:t xml:space="preserve">The shared-field definition is elegant but geologically strong: it conflates </w:t>
      </w:r>
      <w:r>
        <w:rPr>
          <w:i/>
          <w:iCs/>
        </w:rPr>
        <w:t xml:space="preserve">structural</w:t>
      </w:r>
      <w:r>
        <w:t xml:space="preserve"> conformity (same deformation history) with </w:t>
      </w:r>
      <w:r>
        <w:rPr>
          <w:i/>
          <w:iCs/>
        </w:rPr>
        <w:t xml:space="preserve">stratigraphic</w:t>
      </w:r>
      <w:r>
        <w:t xml:space="preserve"> conformity (constant-thickness, uninterrupted deposition). Real formations thin, onlap their own basin margins, and pinch out; a unit 200 m thick in the depocentre and zero at the hingeline is not a constant offset of the surface below it, yet a single shared field will render it as one. The GemPy/LoopStructural default therefore encodes an isopachous, layer-cake-after-folding prior that holds at the scale where series boundaries are well chosen and fails where intra-series thickness variation is the actual signal. Leapfrog's per-surface interpolation makes the opposite bet: it will not enforce parallelism it does not see in the data, handling thinning more faithfully where data constrain it, but offering nothing but the imposed trend in the gaps.</w:t>
      </w:r>
    </w:p>
    <w:p>
      <w:pPr>
        <w:spacing w:after="160" w:line="276"/>
      </w:pPr>
      <w:r>
        <w:t xml:space="preserve">The practical lever in all three implicit systems is therefore the same and is not a numerical one: it is </w:t>
      </w:r>
      <w:r>
        <w:rPr>
          <w:b/>
          <w:bCs/>
        </w:rPr>
        <w:t xml:space="preserve">series / stack design</w:t>
      </w:r>
      <w:r>
        <w:t xml:space="preserve"> — the decision of which sequence of contacts is allowed to share a deformation story. That partition is a conceptual-model choice, and it is where the geology actually enters. The defensible partition at basin scale (treat a megasequence as one conformable package) is indefensible at prospect scale (where its internal onlaps and truncations are the whole point). Same data, different model, depending on what question is being asked.</w:t>
      </w:r>
    </w:p>
    <w:p>
      <w:pPr>
        <w:pStyle w:val="Heading2"/>
      </w:pPr>
      <w:r>
        <w:t xml:space="preserve">8.2 Intrusion: unified, or special-cased?</w:t>
      </w:r>
    </w:p>
    <w:p>
      <w:pPr>
        <w:spacing w:after="160" w:line="276"/>
      </w:pPr>
      <w:r>
        <w:t xml:space="preserve">This is the cleanest split in the comparison. Leapfrog </w:t>
      </w:r>
      <w:r>
        <w:rPr>
          <w:b/>
          <w:bCs/>
        </w:rPr>
        <w:t xml:space="preserve">unifies</w:t>
      </w:r>
      <w:r>
        <w:t xml:space="preserve"> intrusion into the contact grammar — it is a surface type with a fill-inside rule, conceptually a sign-flipped erosion. The potential-field tools </w:t>
      </w:r>
      <w:r>
        <w:rPr>
          <w:b/>
          <w:bCs/>
        </w:rPr>
        <w:t xml:space="preserve">special-case</w:t>
      </w:r>
      <w:r>
        <w:t xml:space="preserve"> it: GemPy folds it into an ordinary erode series, while LoopStructural pulls it out into a dedicated subsystem that positively models the body via conceptual lateral and vertical extent functions. The descriptive CGI/GeoSciML ontology sides with the special-casers, placing the igneous intrusive contact on a different branch from depositional contacts. The trade-off is generality versus fidelity: Leapfrog's single abstraction is easy to reason about and quick to build; LoopStructural's separate body model captures intrusion geometry (ballooning, lateral growth) that a clipping surface cannot.</w:t>
      </w:r>
    </w:p>
    <w:p>
      <w:pPr>
        <w:pStyle w:val="Heading1"/>
      </w:pPr>
      <w:r>
        <w:t xml:space="preserve">9. Closing observation</w:t>
      </w:r>
    </w:p>
    <w:p>
      <w:pPr>
        <w:spacing w:after="160" w:line="276"/>
      </w:pPr>
      <w:r>
        <w:t xml:space="preserve">All four systems are, underneath, the same machine: a chronologically ordered sequence evaluated youngest-first, with each contact contributing a direction (which side is younger) and a stopping rule (how far back its influence reaches). The </w:t>
      </w:r>
      <w:r>
        <w:rPr>
          <w:b/>
          <w:bCs/>
        </w:rPr>
        <w:t xml:space="preserve">erode / onlap</w:t>
      </w:r>
      <w:r>
        <w:t xml:space="preserve"> binary is the irreducible core; conformity is what happens when nothing overrides, and is geometric in the implicit tools and behavioural in Leapfrog. The systems diverge mainly in how much they unify under that core: Leapfrog pulls intrusion and vein </w:t>
      </w:r>
      <w:r>
        <w:rPr>
          <w:i/>
          <w:iCs/>
        </w:rPr>
        <w:t xml:space="preserve">into</w:t>
      </w:r>
      <w:r>
        <w:t xml:space="preserve"> the grammar as surface types, while GemPy and LoopStructural push them </w:t>
      </w:r>
      <w:r>
        <w:rPr>
          <w:i/>
          <w:iCs/>
        </w:rPr>
        <w:t xml:space="preserve">out</w:t>
      </w:r>
      <w:r>
        <w:t xml:space="preserve"> — GemPy by absorbing intrusion into a generic erode series, LoopStructural by building a separate body subsystem. The choice is not about correctness but about where each tool wants the modeller's judgement to live: in the choice of surface type (Leapfrog), or in the design of the series stack (everyone else).</w:t>
      </w:r>
    </w:p>
    <w:p>
      <w:pPr>
        <w:spacing w:after="160" w:line="276"/>
      </w:pPr>
      <w:r>
        <w:t xml:space="preserve">For anyone aligning a working model to a formal ontology, the impedance mismatch is worth stating plainly: the descriptive vocabularies (GeoSciML / CGI) classify contacts by </w:t>
      </w:r>
      <w:r>
        <w:rPr>
          <w:i/>
          <w:iCs/>
        </w:rPr>
        <w:t xml:space="preserve">genesis and observable character</w:t>
      </w:r>
      <w:r>
        <w:t xml:space="preserve"> (depositional, intrusive, faulted, the angular/dis/para/non unconformity quartet), whereas the constructive tools classify by </w:t>
      </w:r>
      <w:r>
        <w:rPr>
          <w:i/>
          <w:iCs/>
        </w:rPr>
        <w:t xml:space="preserve">cutting behaviour</w:t>
      </w:r>
      <w:r>
        <w:t xml:space="preserve"> (erode vs onlap). They are orthogonal partitions of the same surfaces, and any code-generation or interoperability layer between them has to resolve that orthogonality explicitly — there is no one-to-one map from 'angular unconformity' to 'erode', only a context-dependent one.</w:t>
      </w:r>
    </w:p>
    <w:p>
      <w:pPr>
        <w:pStyle w:val="Heading1"/>
      </w:pPr>
      <w:r>
        <w:t xml:space="preserve">Sources</w:t>
      </w:r>
    </w:p>
    <w:p>
      <w:pPr>
        <w:pStyle w:val="ListParagraph"/>
        <w:numPr>
          <w:ilvl w:val="0"/>
          <w:numId w:val="3"/>
        </w:numPr>
        <w:spacing w:after="100" w:line="264"/>
      </w:pPr>
      <w:r>
        <w:rPr>
          <w:sz w:val="19"/>
          <w:szCs w:val="19"/>
        </w:rPr>
        <w:t xml:space="preserve">Seequent, Leapfrog Geo 6.0 Help — Contact Surfaces (deposit, erosion, intrusion, vein; Surface Chronology; younging direction).</w:t>
      </w:r>
    </w:p>
    <w:p>
      <w:pPr>
        <w:pStyle w:val="ListParagraph"/>
        <w:numPr>
          <w:ilvl w:val="0"/>
          <w:numId w:val="3"/>
        </w:numPr>
        <w:spacing w:after="100" w:line="264"/>
      </w:pPr>
      <w:r>
        <w:rPr>
          <w:sz w:val="19"/>
          <w:szCs w:val="19"/>
        </w:rPr>
        <w:t xml:space="preserve">Lajaunie, C., Courrioux, G., Manuel, L. (1997). Foliation fields and 3D cartography in geology: principles of a method based on potential interpolation. Mathematical Geology 29(4).</w:t>
      </w:r>
    </w:p>
    <w:p>
      <w:pPr>
        <w:pStyle w:val="ListParagraph"/>
        <w:numPr>
          <w:ilvl w:val="0"/>
          <w:numId w:val="3"/>
        </w:numPr>
        <w:spacing w:after="100" w:line="264"/>
      </w:pPr>
      <w:r>
        <w:rPr>
          <w:sz w:val="19"/>
          <w:szCs w:val="19"/>
        </w:rPr>
        <w:t xml:space="preserve">Calcagno, P., Chilès, J.-P., Courrioux, G., Guillen, A. (2008). Geological modelling from field data and geological knowledge — Part I. Physics of the Earth and Planetary Interiors 171.</w:t>
      </w:r>
    </w:p>
    <w:p>
      <w:pPr>
        <w:pStyle w:val="ListParagraph"/>
        <w:numPr>
          <w:ilvl w:val="0"/>
          <w:numId w:val="3"/>
        </w:numPr>
        <w:spacing w:after="100" w:line="264"/>
      </w:pPr>
      <w:r>
        <w:rPr>
          <w:sz w:val="19"/>
          <w:szCs w:val="19"/>
        </w:rPr>
        <w:t xml:space="preserve">GemPy documentation — StackRelationType (BASEMENT/ERODE/ONLAP/FAULT), per-series scalar fields, onlap and unconformity tutorials.</w:t>
      </w:r>
    </w:p>
    <w:p>
      <w:pPr>
        <w:pStyle w:val="ListParagraph"/>
        <w:numPr>
          <w:ilvl w:val="0"/>
          <w:numId w:val="3"/>
        </w:numPr>
        <w:spacing w:after="100" w:line="264"/>
      </w:pPr>
      <w:r>
        <w:rPr>
          <w:sz w:val="19"/>
          <w:szCs w:val="19"/>
        </w:rPr>
        <w:t xml:space="preserve">LoopStructural source — modelling/core/stratigraphic_column.py (UnconformityType), modelling/features/_unconformity_feature.py, modelling/core/geological_model.py (add_unconformity, add_onlap_unconformity), modelling/intrusions/.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AD1" w:sz="4" w:space="4"/>
      </w:pBd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AD1" w:sz="4" w:space="4"/>
      </w:pBdr>
      <w:jc w:val="right"/>
    </w:pPr>
    <w:r>
      <w:rPr>
        <w:i/>
        <w:iCs/>
        <w:color w:val="595959"/>
        <w:sz w:val="16"/>
        <w:szCs w:val="16"/>
      </w:rPr>
      <w:t xml:space="preserve">The Grammar of Contact Surfaces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5F"/>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100" w:before="16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Grammar of Contact Surfaces</dc:title>
  <dc:creator>Jerritt</dc:creator>
  <cp:lastModifiedBy>Un-named</cp:lastModifiedBy>
  <cp:revision>1</cp:revision>
  <dcterms:created xsi:type="dcterms:W3CDTF">2026-06-18T11:51:13.119Z</dcterms:created>
  <dcterms:modified xsi:type="dcterms:W3CDTF">2026-06-18T11:51:13.120Z</dcterms:modified>
</cp:coreProperties>
</file>

<file path=docProps/custom.xml><?xml version="1.0" encoding="utf-8"?>
<Properties xmlns="http://schemas.openxmlformats.org/officeDocument/2006/custom-properties" xmlns:vt="http://schemas.openxmlformats.org/officeDocument/2006/docPropsVTypes"/>
</file>