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DOCUMENTATION TECHNIQUE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9AAA"/>
          <w:sz w:val="26"/>
          <w:szCs w:val="26"/>
        </w:rPr>
        <w:t xml:space="preserve">Simulateur AAP ADEME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Decarbonation du transport et des services maritimes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2.0.3 · 4 avril 2026</w:t>
      </w:r>
    </w:p>
    <w:p>
      <w:pPr>
        <w:spacing w:after="200" w:before="400"/>
        <w:jc w:val="left"/>
      </w:pPr>
      <w:r>
        <w:rPr>
          <w:rFonts w:ascii="Arial" w:cs="Arial" w:eastAsia="Arial" w:hAnsi="Arial"/>
          <w:b/>
          <w:bCs/>
          <w:color w:val="1E2D3D"/>
          <w:sz w:val="28"/>
          <w:szCs w:val="28"/>
        </w:rPr>
        <w:t xml:space="preserve">Table des matieres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Presentation generale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Architecture technique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Moteurs de calcul (8 fonctions)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Donnees de reference (12 technologies, 22 projets, 7 carburants)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Parcours utilisateur (7 etapes)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Export PDF et annexes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Securite et anti-crawl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Exigences CdC couvertes (6/6)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9. Guide de maintenance</w:t>
      </w:r>
    </w:p>
    <w:p>
      <w:r>
        <w:br w:type="page"/>
      </w:r>
    </w:p>
    <w:p>
      <w:pPr>
        <w:spacing w:after="200" w:before="400"/>
        <w:jc w:val="left"/>
      </w:pPr>
      <w:r>
        <w:rPr>
          <w:rFonts w:ascii="Arial" w:cs="Arial" w:eastAsia="Arial" w:hAnsi="Arial"/>
          <w:b/>
          <w:bCs/>
          <w:color w:val="1E2D3D"/>
          <w:sz w:val="28"/>
          <w:szCs w:val="28"/>
        </w:rPr>
        <w:t xml:space="preserve">1. Presentation generale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simulateur AAP ADEME 2026 est un outil web gratuit developpe par le GASPE pour accompagner les armateurs cotiers francais (TPE/PME) dans le montage de pre-dossiers ADEME. Il couvre les thematiques 1 (decarbonation directe) et 2 (investissements industriels) de l’appel a projets dote de 70 millions d’euros, cloturant le 6 juillet 2026.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L’objectif est qu’un armateur produise un pre-dossier structure, chiffre et source en 30 minutes. Trois parcours technologiques sont couverts : electrification (batteries, H2), biocarburants (HVO, FAME, B30) et optimisation operationnelle (routage, velique, antifouling).</w:t>
      </w:r>
    </w:p>
    <w:p>
      <w:pPr>
        <w:pBdr>
          <w:bottom w:val="single" w:color="DDDDDD" w:sz="1"/>
        </w:pBdr>
        <w:spacing w:after="160" w:before="300"/>
        <w:jc w:val="left"/>
      </w:pPr>
      <w:r>
        <w:rPr>
          <w:rFonts w:ascii="Arial" w:cs="Arial" w:eastAsia="Arial" w:hAnsi="Arial"/>
          <w:b/>
          <w:bCs/>
          <w:color w:val="1B9AAA"/>
          <w:sz w:val="24"/>
          <w:szCs w:val="24"/>
        </w:rPr>
        <w:t xml:space="preserve">Beneficiaires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30 compagnies adherentes du GASPE, 165 navires, environ 1 600 navigants. 90 % sont des TPE/PME.</w:t>
      </w:r>
    </w:p>
    <w:p>
      <w:pPr>
        <w:pBdr>
          <w:bottom w:val="single" w:color="DDDDDD" w:sz="1"/>
        </w:pBdr>
        <w:spacing w:after="160" w:before="300"/>
        <w:jc w:val="left"/>
      </w:pPr>
      <w:r>
        <w:rPr>
          <w:rFonts w:ascii="Arial" w:cs="Arial" w:eastAsia="Arial" w:hAnsi="Arial"/>
          <w:b/>
          <w:bCs/>
          <w:color w:val="1B9AAA"/>
          <w:sz w:val="24"/>
          <w:szCs w:val="24"/>
        </w:rPr>
        <w:t xml:space="preserve">URL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https://colombanatsea.com/simulateur-transition-armateurs-cotiers/</w:t>
      </w:r>
    </w:p>
    <w:p>
      <w:r>
        <w:br w:type="page"/>
      </w:r>
    </w:p>
    <w:p>
      <w:pPr>
        <w:spacing w:after="200" w:before="400"/>
        <w:jc w:val="left"/>
      </w:pPr>
      <w:r>
        <w:rPr>
          <w:rFonts w:ascii="Arial" w:cs="Arial" w:eastAsia="Arial" w:hAnsi="Arial"/>
          <w:b/>
          <w:bCs/>
          <w:color w:val="1E2D3D"/>
          <w:sz w:val="28"/>
          <w:szCs w:val="28"/>
        </w:rPr>
        <w:t xml:space="preserve">2. Architecture technique</w:t>
      </w:r>
    </w:p>
    <w:p>
      <w:pPr>
        <w:spacing w:after="80"/>
        <w:ind w:left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React 18.3.1 (UMD, globals, pas de modules ES)</w:t>
      </w:r>
    </w:p>
    <w:p>
      <w:pPr>
        <w:spacing w:after="80"/>
        <w:ind w:left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Recharts (graphiques, UMD patche CSP)</w:t>
      </w:r>
    </w:p>
    <w:p>
      <w:pPr>
        <w:spacing w:after="80"/>
        <w:ind w:left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Tailwind CSS (99 classes extraites, 4.5 KB)</w:t>
      </w:r>
    </w:p>
    <w:p>
      <w:pPr>
        <w:spacing w:after="80"/>
        <w:ind w:left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Babel (compilation JSX) + javascript-obfuscator (protection)</w:t>
      </w:r>
    </w:p>
    <w:p>
      <w:pPr>
        <w:spacing w:after="80"/>
        <w:ind w:left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Astro 5.x SSG, GitHub Pages, GitHub Actions</w:t>
      </w:r>
    </w:p>
    <w:p>
      <w:pPr>
        <w:spacing w:after="80"/>
        <w:ind w:left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localStorage multi-projet (sauvegarde automatique)</w:t>
      </w:r>
    </w:p>
    <w:p>
      <w:pPr>
        <w:pBdr>
          <w:bottom w:val="single" w:color="DDDDDD" w:sz="1"/>
        </w:pBdr>
        <w:spacing w:after="160" w:before="300"/>
        <w:jc w:val="left"/>
      </w:pPr>
      <w:r>
        <w:rPr>
          <w:rFonts w:ascii="Arial" w:cs="Arial" w:eastAsia="Arial" w:hAnsi="Arial"/>
          <w:b/>
          <w:bCs/>
          <w:color w:val="1B9AAA"/>
          <w:sz w:val="24"/>
          <w:szCs w:val="24"/>
        </w:rPr>
        <w:t xml:space="preserve">Pipeline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sim-ademe.jsx (source) &gt; sed (globals) &gt; babel &gt; app.js &gt; javascript-obfuscator &gt; app.obf.js (172 KB)</w:t>
      </w:r>
    </w:p>
    <w:p>
      <w:r>
        <w:br w:type="page"/>
      </w:r>
    </w:p>
    <w:p>
      <w:pPr>
        <w:spacing w:after="200" w:before="400"/>
        <w:jc w:val="left"/>
      </w:pPr>
      <w:r>
        <w:rPr>
          <w:rFonts w:ascii="Arial" w:cs="Arial" w:eastAsia="Arial" w:hAnsi="Arial"/>
          <w:b/>
          <w:bCs/>
          <w:color w:val="1E2D3D"/>
          <w:sz w:val="28"/>
          <w:szCs w:val="28"/>
        </w:rPr>
        <w:t xml:space="preserve">3. Moteurs de calcul</w:t>
      </w:r>
    </w:p>
    <w:p>
      <w:pPr>
        <w:pBdr>
          <w:bottom w:val="single" w:color="DDDDDD" w:sz="1"/>
        </w:pBdr>
        <w:spacing w:after="160" w:before="300"/>
        <w:jc w:val="left"/>
      </w:pPr>
      <w:r>
        <w:rPr>
          <w:rFonts w:ascii="Arial" w:cs="Arial" w:eastAsia="Arial" w:hAnsi="Arial"/>
          <w:b/>
          <w:bCs/>
          <w:color w:val="1B9AAA"/>
          <w:sz w:val="24"/>
          <w:szCs w:val="24"/>
        </w:rPr>
        <w:t xml:space="preserve">3.1 dimBatt (batteries)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 opportunity (1 traversee) ou overnight (journee entiere). Cout 450 EUR/kWh installe maritime (Corvus 2024). Chargeur 200 EUR/kW (ABB 2022). SoC 10-90% (DNV Pt.6 Ch.2). C-rate 2C (Corvus Orca).</w:t>
      </w:r>
    </w:p>
    <w:p>
      <w:pPr>
        <w:pBdr>
          <w:bottom w:val="single" w:color="DDDDDD" w:sz="1"/>
        </w:pBdr>
        <w:spacing w:after="160" w:before="300"/>
        <w:jc w:val="left"/>
      </w:pPr>
      <w:r>
        <w:rPr>
          <w:rFonts w:ascii="Arial" w:cs="Arial" w:eastAsia="Arial" w:hAnsi="Arial"/>
          <w:b/>
          <w:bCs/>
          <w:color w:val="1B9AAA"/>
          <w:sz w:val="24"/>
          <w:szCs w:val="24"/>
        </w:rPr>
        <w:t xml:space="preserve">3.2 dimBiofuel (biocarburant)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HVO : drop-in, modifications minimales. FAME B100 : joints, chauffage carburant. B30 : quasi zero. Dual-fuel : conversion moteur, reservoirs, securite. Sources : Ship Universe 2025, DNV 2025, VPS 2024.</w:t>
      </w:r>
    </w:p>
    <w:p>
      <w:pPr>
        <w:pBdr>
          <w:bottom w:val="single" w:color="DDDDDD" w:sz="1"/>
        </w:pBdr>
        <w:spacing w:after="160" w:before="300"/>
        <w:jc w:val="left"/>
      </w:pPr>
      <w:r>
        <w:rPr>
          <w:rFonts w:ascii="Arial" w:cs="Arial" w:eastAsia="Arial" w:hAnsi="Arial"/>
          <w:b/>
          <w:bCs/>
          <w:color w:val="1B9AAA"/>
          <w:sz w:val="24"/>
          <w:szCs w:val="24"/>
        </w:rPr>
        <w:t xml:space="preserve">3.3 compute (CCV)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ISO 15686-5. Densite MDO 0.85 kg/L (ISO 8217). CO2 3.206 kgCO2/kg (IMO MEPC.1/Circ.684). Degradation +1.5%/an (MAN 2023). IMPORTANT : les techs biocarburant ont gM=0. La reduction CO2 vient du facteur d’emission dans le mix, pas d’une reduction de consommation.</w:t>
      </w:r>
    </w:p>
    <w:p>
      <w:pPr>
        <w:pBdr>
          <w:bottom w:val="single" w:color="DDDDDD" w:sz="1"/>
        </w:pBdr>
        <w:spacing w:after="160" w:before="300"/>
        <w:jc w:val="left"/>
      </w:pPr>
      <w:r>
        <w:rPr>
          <w:rFonts w:ascii="Arial" w:cs="Arial" w:eastAsia="Arial" w:hAnsi="Arial"/>
          <w:b/>
          <w:bCs/>
          <w:color w:val="1B9AAA"/>
          <w:sz w:val="24"/>
          <w:szCs w:val="24"/>
        </w:rPr>
        <w:t xml:space="preserve">3.4 computeTRI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Newton-Raphson, 100 iterations, convergence &lt; 0.01. Cash-flows differentiels. Avant impots, apres aides. CdC p.28.</w:t>
      </w:r>
    </w:p>
    <w:p>
      <w:pPr>
        <w:pBdr>
          <w:bottom w:val="single" w:color="DDDDDD" w:sz="1"/>
        </w:pBdr>
        <w:spacing w:after="160" w:before="300"/>
        <w:jc w:val="left"/>
      </w:pPr>
      <w:r>
        <w:rPr>
          <w:rFonts w:ascii="Arial" w:cs="Arial" w:eastAsia="Arial" w:hAnsi="Arial"/>
          <w:b/>
          <w:bCs/>
          <w:color w:val="1B9AAA"/>
          <w:sz w:val="24"/>
          <w:szCs w:val="24"/>
        </w:rPr>
        <w:t xml:space="preserve">3.5 computeAide (LDACEE)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formules de surcout (CdC §1.4.1). Plafond min(surcout x taux, 6M€, surcout). Surcout independant de compute() : cascade budget &gt; step2 &gt; compute.</w:t>
      </w:r>
    </w:p>
    <w:p>
      <w:pPr>
        <w:pBdr>
          <w:bottom w:val="single" w:color="DDDDDD" w:sz="1"/>
        </w:pBdr>
        <w:spacing w:after="160" w:before="300"/>
        <w:jc w:val="left"/>
      </w:pPr>
      <w:r>
        <w:rPr>
          <w:rFonts w:ascii="Arial" w:cs="Arial" w:eastAsia="Arial" w:hAnsi="Arial"/>
          <w:b/>
          <w:bCs/>
          <w:color w:val="1B9AAA"/>
          <w:sz w:val="24"/>
          <w:szCs w:val="24"/>
        </w:rPr>
        <w:t xml:space="preserve">3.6 computeScoring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Profil de competitivite (CdC pp. 27-29). Environnement 45 pts, aide publique 25 pts (seuil 200 EUR/tCO2), qualite technique 30 pts. Periode 5 ans.</w:t>
      </w:r>
    </w:p>
    <w:p>
      <w:pPr>
        <w:pBdr>
          <w:bottom w:val="single" w:color="DDDDDD" w:sz="1"/>
        </w:pBdr>
        <w:spacing w:after="160" w:before="300"/>
        <w:jc w:val="left"/>
      </w:pPr>
      <w:r>
        <w:rPr>
          <w:rFonts w:ascii="Arial" w:cs="Arial" w:eastAsia="Arial" w:hAnsi="Arial"/>
          <w:b/>
          <w:bCs/>
          <w:color w:val="1B9AAA"/>
          <w:sz w:val="24"/>
          <w:szCs w:val="24"/>
        </w:rPr>
        <w:t xml:space="preserve">3.7 Module incitativite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 sans aide vs TRI avec aide. Verdict automatique : effet incitatif demonstre si TRI sans aide &lt; 5%. CdC p.29.</w:t>
      </w:r>
    </w:p>
    <w:p>
      <w:pPr>
        <w:pBdr>
          <w:bottom w:val="single" w:color="DDDDDD" w:sz="1"/>
        </w:pBdr>
        <w:spacing w:after="160" w:before="300"/>
        <w:jc w:val="left"/>
      </w:pPr>
      <w:r>
        <w:rPr>
          <w:rFonts w:ascii="Arial" w:cs="Arial" w:eastAsia="Arial" w:hAnsi="Arial"/>
          <w:b/>
          <w:bCs/>
          <w:color w:val="1B9AAA"/>
          <w:sz w:val="24"/>
          <w:szCs w:val="24"/>
        </w:rPr>
        <w:t xml:space="preserve">3.8 classifyVessel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RGEC art. 36 ter : emission nulle (99%), propre (25%), efficacite.</w:t>
      </w:r>
    </w:p>
    <w:p>
      <w:r>
        <w:br w:type="page"/>
      </w:r>
    </w:p>
    <w:p>
      <w:pPr>
        <w:spacing w:after="200" w:before="400"/>
        <w:jc w:val="left"/>
      </w:pPr>
      <w:r>
        <w:rPr>
          <w:rFonts w:ascii="Arial" w:cs="Arial" w:eastAsia="Arial" w:hAnsi="Arial"/>
          <w:b/>
          <w:bCs/>
          <w:color w:val="1E2D3D"/>
          <w:sz w:val="28"/>
          <w:szCs w:val="28"/>
        </w:rPr>
        <w:t xml:space="preserve">4. Donnees de reference</w:t>
      </w:r>
    </w:p>
    <w:p>
      <w:pPr>
        <w:pBdr>
          <w:bottom w:val="single" w:color="DDDDDD" w:sz="1"/>
        </w:pBdr>
        <w:spacing w:after="160" w:before="300"/>
        <w:jc w:val="left"/>
      </w:pPr>
      <w:r>
        <w:rPr>
          <w:rFonts w:ascii="Arial" w:cs="Arial" w:eastAsia="Arial" w:hAnsi="Arial"/>
          <w:b/>
          <w:bCs/>
          <w:color w:val="1B9AAA"/>
          <w:sz w:val="24"/>
          <w:szCs w:val="24"/>
        </w:rPr>
        <w:t xml:space="preserve">4.1 Technologies (12)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7"/>
          </w:tcPr>
          <w:p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Technologie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7"/>
          </w:tcPr>
          <w:p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Categorie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7"/>
          </w:tcPr>
          <w:p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Gain conso (gM)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7"/>
          </w:tcPr>
          <w:p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TRL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Helice optimisee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Efficacite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Antifouling avance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Efficacite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Reduction vitesse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Operationnel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Hybridation diesel-elect.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Electrification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Electrification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Electrification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Bulbe d'etrave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Efficacite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Routage maree/courant (IA)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Efficacite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Propulsion velique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Renouvelable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Pile a combustible H2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Hydrogene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Conversion HVO/FAME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Biocarburant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0% (CO2 via mix)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Blend B30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Biocarburant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0% (CO2 via mix)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Dual-fuel GNL/bio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Carburant alt.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5% (Otto)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</w:tr>
    </w:tbl>
    <w:p>
      <w:pPr>
        <w:pBdr>
          <w:bottom w:val="single" w:color="DDDDDD" w:sz="1"/>
        </w:pBdr>
        <w:spacing w:after="160" w:before="300"/>
        <w:jc w:val="left"/>
      </w:pPr>
      <w:r>
        <w:rPr>
          <w:rFonts w:ascii="Arial" w:cs="Arial" w:eastAsia="Arial" w:hAnsi="Arial"/>
          <w:b/>
          <w:bCs/>
          <w:color w:val="1B9AAA"/>
          <w:sz w:val="24"/>
          <w:szCs w:val="24"/>
        </w:rPr>
        <w:t xml:space="preserve">4.2 Projets de reference (22)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18 electriques/hybrides + 4 biocarburant + 1 etude LCA. Irish Ferries HVO, Norden B100, HGK HVO fluvial, Biofuel Express, DNV White Paper 2025, MF Ampere, Ellen, LAMELEC, Volta 1, Basto Fosen, Sea Change, etc.</w:t>
      </w:r>
    </w:p>
    <w:p>
      <w:pPr>
        <w:pBdr>
          <w:bottom w:val="single" w:color="DDDDDD" w:sz="1"/>
        </w:pBdr>
        <w:spacing w:after="160" w:before="300"/>
        <w:jc w:val="left"/>
      </w:pPr>
      <w:r>
        <w:rPr>
          <w:rFonts w:ascii="Arial" w:cs="Arial" w:eastAsia="Arial" w:hAnsi="Arial"/>
          <w:b/>
          <w:bCs/>
          <w:color w:val="1B9AAA"/>
          <w:sz w:val="24"/>
          <w:szCs w:val="24"/>
        </w:rPr>
        <w:t xml:space="preserve">4.3 Taux LDACEE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7"/>
          </w:tcPr>
          <w:p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Nature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7"/>
          </w:tcPr>
          <w:p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7"/>
          </w:tcPr>
          <w:p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7"/>
          </w:tcPr>
          <w:p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Emission nulle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Efficacite + contrefactuel hors AFR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Sans contrefactuel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Taux /2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Taux /2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Taux /2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Etudes/conseil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60%</w:t>
            </w:r>
          </w:p>
        </w:tc>
      </w:tr>
    </w:tbl>
    <w:p>
      <w:r>
        <w:br w:type="page"/>
      </w:r>
    </w:p>
    <w:p>
      <w:pPr>
        <w:spacing w:after="200" w:before="400"/>
        <w:jc w:val="left"/>
      </w:pPr>
      <w:r>
        <w:rPr>
          <w:rFonts w:ascii="Arial" w:cs="Arial" w:eastAsia="Arial" w:hAnsi="Arial"/>
          <w:b/>
          <w:bCs/>
          <w:color w:val="1E2D3D"/>
          <w:sz w:val="28"/>
          <w:szCs w:val="28"/>
        </w:rPr>
        <w:t xml:space="preserve">5. Parcours utilisateur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7"/>
          </w:tcPr>
          <w:p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Etape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7"/>
          </w:tcPr>
          <w:p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Contenu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7"/>
          </w:tcPr>
          <w:p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Duree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Mon navire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Type, nom, dimensions, cadre exploitation, region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Mon projet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 technologies, mix carburant, mode recharge (si elec), investissements, projets ref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Contrefactuel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options CdC, entretien estime, bloc En un mot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Gains &amp; DNSH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CO2/SOx/NOx/PM 5 ans, DNSH 6 axes + personnalises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Budget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categories ADEME, auto-remplissage dynamique elec/bio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Aide &amp; scoring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Taux LDACEE, profil, ratio, sensibilite, TRI, incitativite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Dossier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Synthese, checklist, calendrier, contact, export PDF GASPE, sources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min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: environ 30 minutes pour un pre-dossier complet.</w:t>
      </w:r>
    </w:p>
    <w:p>
      <w:r>
        <w:br w:type="page"/>
      </w:r>
    </w:p>
    <w:p>
      <w:pPr>
        <w:spacing w:after="200" w:before="400"/>
        <w:jc w:val="left"/>
      </w:pPr>
      <w:r>
        <w:rPr>
          <w:rFonts w:ascii="Arial" w:cs="Arial" w:eastAsia="Arial" w:hAnsi="Arial"/>
          <w:b/>
          <w:bCs/>
          <w:color w:val="1E2D3D"/>
          <w:sz w:val="28"/>
          <w:szCs w:val="28"/>
        </w:rPr>
        <w:t xml:space="preserve">6. Export PDF et annexes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Header : logo GASPE + mention organisation + date. Footer : A stylise + tagline + version + Reproduction interdite. Blob URL. Saut de page annexes.</w:t>
      </w:r>
    </w:p>
    <w:p>
      <w:pPr>
        <w:spacing w:after="80"/>
        <w:ind w:left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6 sections : synthese, projet, contrefactuel, gains, budget, aide</w:t>
      </w:r>
    </w:p>
    <w:p>
      <w:pPr>
        <w:spacing w:after="80"/>
        <w:ind w:left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4 annexes : DNSH 6 axes, methodologie GES (tableau), souverainete, aides publiques</w:t>
      </w:r>
    </w:p>
    <w:p>
      <w:r>
        <w:br w:type="page"/>
      </w:r>
    </w:p>
    <w:p>
      <w:pPr>
        <w:spacing w:after="200" w:before="400"/>
        <w:jc w:val="left"/>
      </w:pPr>
      <w:r>
        <w:rPr>
          <w:rFonts w:ascii="Arial" w:cs="Arial" w:eastAsia="Arial" w:hAnsi="Arial"/>
          <w:b/>
          <w:bCs/>
          <w:color w:val="1E2D3D"/>
          <w:sz w:val="28"/>
          <w:szCs w:val="28"/>
        </w:rPr>
        <w:t xml:space="preserve">7. Securite et anti-crawl</w:t>
      </w:r>
    </w:p>
    <w:p>
      <w:pPr>
        <w:pBdr>
          <w:bottom w:val="single" w:color="DDDDDD" w:sz="1"/>
        </w:pBdr>
        <w:spacing w:after="160" w:before="300"/>
        <w:jc w:val="left"/>
      </w:pPr>
      <w:r>
        <w:rPr>
          <w:rFonts w:ascii="Arial" w:cs="Arial" w:eastAsia="Arial" w:hAnsi="Arial"/>
          <w:b/>
          <w:bCs/>
          <w:color w:val="1B9AAA"/>
          <w:sz w:val="24"/>
          <w:szCs w:val="24"/>
        </w:rPr>
        <w:t xml:space="preserve">4 couches de protection</w:t>
      </w:r>
    </w:p>
    <w:p>
      <w:pPr>
        <w:spacing w:after="80"/>
        <w:ind w:left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robots.txt : 17 bots IA bloques (GPTBot, ClaudeBot, CCBot, Bytespider, Perplexitybot, Cohere, Meta, Diffbot, PetalBot, Semrushbot, AhrefsBot)</w:t>
      </w:r>
    </w:p>
    <w:p>
      <w:pPr>
        <w:spacing w:after="80"/>
        <w:ind w:left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Meta tags HTML : noindex/nofollow pour 5 bots majeurs</w:t>
      </w:r>
    </w:p>
    <w:p>
      <w:pPr>
        <w:spacing w:after="80"/>
        <w:ind w:left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Protection JS : navigator.webdriver, honeypot invisible, clic droit data-protected</w:t>
      </w:r>
    </w:p>
    <w:p>
      <w:pPr>
        <w:spacing w:after="80"/>
        <w:ind w:left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Obfuscation JS : identifiers hex, string array shuffle, 172 KB</w:t>
      </w:r>
    </w:p>
    <w:p>
      <w:pPr>
        <w:pBdr>
          <w:bottom w:val="single" w:color="DDDDDD" w:sz="1"/>
        </w:pBdr>
        <w:spacing w:after="160" w:before="300"/>
        <w:jc w:val="left"/>
      </w:pPr>
      <w:r>
        <w:rPr>
          <w:rFonts w:ascii="Arial" w:cs="Arial" w:eastAsia="Arial" w:hAnsi="Arial"/>
          <w:b/>
          <w:bCs/>
          <w:color w:val="1B9AAA"/>
          <w:sz w:val="24"/>
          <w:szCs w:val="24"/>
        </w:rPr>
        <w:t xml:space="preserve">SEO preserve</w:t>
      </w:r>
    </w:p>
    <w:p>
      <w:pPr>
        <w:spacing w:after="80"/>
        <w:ind w:left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Googlebot et Bingbot autorises dans robots.txt</w:t>
      </w:r>
    </w:p>
    <w:p>
      <w:pPr>
        <w:spacing w:after="80"/>
        <w:ind w:left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JSON-LD Schema.org WebApplication</w:t>
      </w:r>
    </w:p>
    <w:p>
      <w:pPr>
        <w:spacing w:after="80"/>
        <w:ind w:left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Canonical URL, sitemap XML (priority 0.9), noscript fallback</w:t>
      </w:r>
    </w:p>
    <w:p>
      <w:pPr>
        <w:spacing w:after="80"/>
        <w:ind w:left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Meta OG LinkedIn/Twitter, favicon GASPE</w:t>
      </w:r>
    </w:p>
    <w:p>
      <w:r>
        <w:br w:type="page"/>
      </w:r>
    </w:p>
    <w:p>
      <w:pPr>
        <w:spacing w:after="200" w:before="400"/>
        <w:jc w:val="left"/>
      </w:pPr>
      <w:r>
        <w:rPr>
          <w:rFonts w:ascii="Arial" w:cs="Arial" w:eastAsia="Arial" w:hAnsi="Arial"/>
          <w:b/>
          <w:bCs/>
          <w:color w:val="1E2D3D"/>
          <w:sz w:val="28"/>
          <w:szCs w:val="28"/>
        </w:rPr>
        <w:t xml:space="preserve">8. Exigences CdC couvertes (6/6)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7"/>
          </w:tcPr>
          <w:p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Exigence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7"/>
          </w:tcPr>
          <w:p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Implementation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7"/>
          </w:tcPr>
          <w:p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Contrefactuel 4 formules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maintien, newbuild, reporte, aucun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CdC §1.4.1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CO2e 5 ans + scenario ref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fossilDeg, facteurs RED III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IMO, MAN 2023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Ratio EUR/tCO2 + seuil 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Penalite -5 pts, scoring 25 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CdC p.28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DNSH 6 axes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Templates dynamiques, champs personnalises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CdC Annexe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 Newton-Raphson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Avant impots, apres aides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CdC p.28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Incitativite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 avec/sans aide, verdict automatique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CdC p.29</w:t>
            </w:r>
          </w:p>
        </w:tc>
      </w:tr>
    </w:tbl>
    <w:p>
      <w:r>
        <w:br w:type="page"/>
      </w:r>
    </w:p>
    <w:p>
      <w:pPr>
        <w:spacing w:after="200" w:before="400"/>
        <w:jc w:val="left"/>
      </w:pPr>
      <w:r>
        <w:rPr>
          <w:rFonts w:ascii="Arial" w:cs="Arial" w:eastAsia="Arial" w:hAnsi="Arial"/>
          <w:b/>
          <w:bCs/>
          <w:color w:val="1E2D3D"/>
          <w:sz w:val="28"/>
          <w:szCs w:val="28"/>
        </w:rPr>
        <w:t xml:space="preserve">9. Guide de maintenance</w:t>
      </w:r>
    </w:p>
    <w:p>
      <w:pPr>
        <w:spacing w:after="80"/>
        <w:ind w:left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Editer sim-ademe.jsx (source lisible)</w:t>
      </w:r>
    </w:p>
    <w:p>
      <w:pPr>
        <w:spacing w:after="80"/>
        <w:ind w:left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Compiler avec Babel</w:t>
      </w:r>
    </w:p>
    <w:p>
      <w:pPr>
        <w:spacing w:after="80"/>
        <w:ind w:left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Verifier avec new Function(code)</w:t>
      </w:r>
    </w:p>
    <w:p>
      <w:pPr>
        <w:spacing w:after="80"/>
        <w:ind w:left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Obfusquer avec javascript-obfuscator</w:t>
      </w:r>
    </w:p>
    <w:p>
      <w:pPr>
        <w:spacing w:after="80"/>
        <w:ind w:left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Copier dans le repo, incrementer cache-buster</w:t>
      </w:r>
    </w:p>
    <w:p>
      <w:pPr>
        <w:spacing w:after="80"/>
        <w:ind w:left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Commit et push</w:t>
      </w:r>
    </w:p>
    <w:p>
      <w:pPr>
        <w:pBdr>
          <w:bottom w:val="single" w:color="DDDDDD" w:sz="1"/>
        </w:pBdr>
        <w:spacing w:after="160" w:before="300"/>
        <w:jc w:val="left"/>
      </w:pPr>
      <w:r>
        <w:rPr>
          <w:rFonts w:ascii="Arial" w:cs="Arial" w:eastAsia="Arial" w:hAnsi="Arial"/>
          <w:b/>
          <w:bCs/>
          <w:color w:val="1B9AAA"/>
          <w:sz w:val="24"/>
          <w:szCs w:val="24"/>
        </w:rPr>
        <w:t xml:space="preserve">Conventions</w:t>
      </w:r>
    </w:p>
    <w:p>
      <w:pPr>
        <w:spacing w:after="80"/>
        <w:ind w:left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Tagline : Localement ancrees. Socialement engagees.</w:t>
      </w:r>
    </w:p>
    <w:p>
      <w:pPr>
        <w:spacing w:after="80"/>
        <w:ind w:left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Zero tiret quadratique</w:t>
      </w:r>
    </w:p>
    <w:p>
      <w:pPr>
        <w:spacing w:after="80"/>
        <w:ind w:left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Tout chiffre source</w:t>
      </w:r>
    </w:p>
    <w:p>
      <w:pPr>
        <w:spacing w:after="80"/>
        <w:ind w:left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Biocarburant : gM=0 (CO2 via mix, pas via conso)</w:t>
      </w:r>
    </w:p>
    <w:p>
      <w:pPr>
        <w:spacing w:after="80"/>
        <w:ind w:left="3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 Obfusquer avant chaque push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Localement ancrees. Socialement engagees.</w:t>
      </w:r>
    </w:p>
    <w:sectPr>
      <w:headerReference w:type="default" r:id="rId7"/>
      <w:footerReference w:type="default" r:id="rId8"/>
      <w:pgSz w:w="11906" w:h="16838" w:orient="portrait"/>
      <w:pgMar w:top="220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drawing>
        <wp:anchor distT="0" distB="0" distL="0" distR="0" simplePos="0" allowOverlap="1" behindDoc="1" locked="0" layoutInCell="1" relativeHeight="381000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381000" cy="3810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cs="Arial" w:eastAsia="Arial" w:hAnsi="Arial"/>
        <w:color w:val="444444"/>
        <w:sz w:val="16"/>
        <w:szCs w:val="16"/>
      </w:rPr>
      <w:t xml:space="preserve">Groupement des Armateurs de Services Publics Maritimes de Passages d’Eau</w:t>
    </w:r>
  </w:p>
  <w:p>
    <w:pPr>
      <w:tabs>
        <w:tab w:val="center" w:pos="4513"/>
        <w:tab w:val="right" w:pos="9026"/>
      </w:tabs>
      <w:spacing w:after="0" w:before="0"/>
    </w:pP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444444"/>
        <w:sz w:val="16"/>
        <w:szCs w:val="16"/>
      </w:rPr>
      <w:t xml:space="preserve">Maison de la Mer, Quai de la Fosse, 44000 Nantes – www.gaspe.fr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44"/>
        <w:sz w:val="16"/>
        <w:szCs w:val="16"/>
      </w:rPr>
      <w:t xml:space="preserve">/</w:t>
    </w:r>
    <w:r>
      <w:rPr>
        <w:rFonts w:ascii="Arial" w:cs="Arial" w:eastAsia="Arial" w:hAnsi="Arial"/>
        <w:color w:val="44444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1714500" cy="333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4ddc8ee740e8c2f632a7d740ca3b8387b17cf688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4c14b775c7e0793ddb5ab45abd045a615ea258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2026-04-04T04:23:38.775Z</dcterms:created>
  <dcterms:modified xsi:type="dcterms:W3CDTF">2026-04-04T04:23:38.776Z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