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jc w:val="center"/>
        <w:rPr>
          <w:rFonts w:ascii="標楷體" w:hAnsi="標楷體" w:eastAsia="標楷體"/>
          <w:sz w:val="40"/>
        </w:rPr>
      </w:pPr>
      <w:r>
        <w:rPr>
          <w:rFonts w:ascii="標楷體" w:hAnsi="標楷體" w:eastAsia="標楷體"/>
          <w:sz w:val="40"/>
        </w:rPr>
        <w:t>參   考   文   獻</w:t>
      </w:r>
    </w:p>
    <w:p>
      <w:pPr>
        <w:pStyle w:val="Normal"/>
        <w:snapToGrid w:val="false"/>
        <w:jc w:val="center"/>
        <w:rPr>
          <w:rFonts w:ascii="標楷體" w:hAnsi="標楷體" w:eastAsia="標楷體"/>
          <w:sz w:val="40"/>
        </w:rPr>
      </w:pPr>
      <w:r>
        <w:rPr>
          <w:rFonts w:eastAsia="標楷體" w:ascii="標楷體" w:hAnsi="標楷體"/>
          <w:sz w:val="40"/>
        </w:rPr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6"/>
        </w:rPr>
      </w:pPr>
      <w:r>
        <w:rPr>
          <w:rFonts w:ascii="標楷體" w:hAnsi="標楷體" w:eastAsia="標楷體"/>
          <w:sz w:val="26"/>
        </w:rPr>
        <w:t>書籍</w:t>
      </w:r>
      <w:r>
        <w:rPr>
          <w:rFonts w:eastAsia="標楷體" w:ascii="標楷體" w:hAnsi="標楷體"/>
          <w:sz w:val="26"/>
        </w:rPr>
        <w:t>:</w:t>
      </w:r>
    </w:p>
    <w:p>
      <w:pPr>
        <w:pStyle w:val="Normal"/>
        <w:numPr>
          <w:ilvl w:val="0"/>
          <w:numId w:val="1"/>
        </w:numPr>
        <w:snapToGrid w:val="false"/>
        <w:spacing w:lineRule="auto" w:line="360"/>
        <w:rPr>
          <w:rFonts w:eastAsia="標楷體"/>
        </w:rPr>
      </w:pPr>
      <w:r>
        <w:rPr>
          <w:rFonts w:eastAsia="標楷體"/>
        </w:rPr>
        <w:t>張起鈞</w:t>
      </w:r>
      <w:r>
        <w:rPr>
          <w:rFonts w:eastAsia="標楷體"/>
        </w:rPr>
        <w:t>(1970</w:t>
      </w:r>
      <w:r>
        <w:rPr>
          <w:rFonts w:eastAsia="標楷體"/>
        </w:rPr>
        <w:t>年</w:t>
      </w:r>
      <w:r>
        <w:rPr>
          <w:rFonts w:eastAsia="標楷體"/>
        </w:rPr>
        <w:t>)</w:t>
      </w:r>
      <w:r>
        <w:rPr>
          <w:rFonts w:eastAsia="標楷體"/>
        </w:rPr>
        <w:t>，吳怡，</w:t>
      </w:r>
      <w:r>
        <w:rPr>
          <w:rFonts w:eastAsia="標楷體"/>
          <w:b/>
        </w:rPr>
        <w:t>中國哲學史話</w:t>
      </w:r>
      <w:r>
        <w:rPr>
          <w:rFonts w:eastAsia="標楷體"/>
        </w:rPr>
        <w:t>，著者發行，台北，第</w:t>
      </w:r>
      <w:r>
        <w:rPr>
          <w:rFonts w:eastAsia="標楷體"/>
        </w:rPr>
        <w:t>50-52</w:t>
      </w:r>
      <w:r>
        <w:rPr>
          <w:rFonts w:eastAsia="標楷體"/>
        </w:rPr>
        <w:t>頁。</w:t>
      </w:r>
    </w:p>
    <w:p>
      <w:pPr>
        <w:pStyle w:val="Normal"/>
        <w:numPr>
          <w:ilvl w:val="0"/>
          <w:numId w:val="1"/>
        </w:numPr>
        <w:snapToGrid w:val="false"/>
        <w:spacing w:lineRule="auto" w:line="360"/>
        <w:rPr>
          <w:rFonts w:ascii="標楷體" w:hAnsi="標楷體" w:eastAsia="標楷體"/>
          <w:sz w:val="26"/>
        </w:rPr>
      </w:pPr>
      <w:r>
        <w:rPr>
          <w:rFonts w:eastAsia="標楷體"/>
        </w:rPr>
        <w:t>Jelinek, F.</w:t>
      </w:r>
      <w:r>
        <w:rPr>
          <w:sz w:val="23"/>
          <w:szCs w:val="23"/>
        </w:rPr>
        <w:t xml:space="preserve"> (1968)</w:t>
      </w:r>
      <w:r>
        <w:rPr>
          <w:rFonts w:eastAsia="標楷體"/>
        </w:rPr>
        <w:t xml:space="preserve">, </w:t>
      </w:r>
      <w:r>
        <w:rPr>
          <w:rFonts w:eastAsia="標楷體"/>
          <w:i/>
        </w:rPr>
        <w:t>Probabilistic Information Theory</w:t>
      </w:r>
      <w:r>
        <w:rPr>
          <w:rFonts w:eastAsia="標楷體"/>
        </w:rPr>
        <w:t>, McGraw-</w:t>
      </w:r>
      <w:r>
        <w:rPr>
          <w:rFonts w:eastAsia="標楷體"/>
        </w:rPr>
        <w:t>Hill,</w:t>
      </w:r>
      <w:r>
        <w:rPr>
          <w:rFonts w:eastAsia="標楷體"/>
        </w:rPr>
        <w:t xml:space="preserve"> </w:t>
      </w:r>
      <w:r>
        <w:rPr>
          <w:rFonts w:eastAsia="標楷體"/>
        </w:rPr>
        <w:t>New</w:t>
      </w:r>
      <w:r>
        <w:rPr>
          <w:rFonts w:eastAsia="標楷體"/>
        </w:rPr>
        <w:t xml:space="preserve"> </w:t>
      </w:r>
      <w:r>
        <w:rPr>
          <w:rFonts w:eastAsia="標楷體"/>
        </w:rPr>
        <w:t>York,</w:t>
      </w:r>
      <w:r>
        <w:rPr>
          <w:rFonts w:eastAsia="標楷體"/>
        </w:rPr>
        <w:t xml:space="preserve"> pp. 79-82</w:t>
      </w:r>
      <w:r>
        <w:rPr>
          <w:rFonts w:eastAsia="標楷體"/>
        </w:rPr>
        <w:t>.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6"/>
        </w:rPr>
      </w:pPr>
      <w:r>
        <w:rPr>
          <w:rFonts w:eastAsia="標楷體" w:ascii="標楷體" w:hAnsi="標楷體"/>
          <w:sz w:val="26"/>
        </w:rPr>
      </w:r>
    </w:p>
    <w:p>
      <w:pPr>
        <w:pStyle w:val="Normal"/>
        <w:snapToGrid w:val="false"/>
        <w:spacing w:lineRule="auto" w:line="360"/>
        <w:rPr/>
      </w:pPr>
      <w:r>
        <w:rPr>
          <w:rFonts w:ascii="標楷體" w:hAnsi="標楷體" w:eastAsia="標楷體"/>
          <w:sz w:val="26"/>
        </w:rPr>
        <w:t>期刊報章論文</w:t>
      </w:r>
      <w:r>
        <w:rPr>
          <w:rFonts w:eastAsia="標楷體" w:ascii="標楷體" w:hAnsi="標楷體"/>
          <w:sz w:val="26"/>
        </w:rPr>
        <w:t>:</w:t>
      </w:r>
    </w:p>
    <w:p>
      <w:pPr>
        <w:pStyle w:val="Normal"/>
        <w:numPr>
          <w:ilvl w:val="0"/>
          <w:numId w:val="4"/>
        </w:numPr>
        <w:snapToGrid w:val="false"/>
        <w:spacing w:lineRule="auto" w:line="360"/>
        <w:rPr>
          <w:rFonts w:eastAsia="標楷體"/>
        </w:rPr>
      </w:pPr>
      <w:r>
        <w:rPr>
          <w:rFonts w:eastAsia="標楷體"/>
        </w:rPr>
        <w:t>陳惠戎，楊冠宏</w:t>
      </w:r>
      <w:r>
        <w:rPr>
          <w:rFonts w:eastAsia="標楷體"/>
        </w:rPr>
        <w:t>(1976</w:t>
      </w:r>
      <w:r>
        <w:rPr>
          <w:rFonts w:eastAsia="標楷體"/>
        </w:rPr>
        <w:t>年</w:t>
      </w:r>
      <w:r>
        <w:rPr>
          <w:rFonts w:eastAsia="標楷體"/>
        </w:rPr>
        <w:t>7</w:t>
      </w:r>
      <w:r>
        <w:rPr>
          <w:rFonts w:eastAsia="標楷體"/>
        </w:rPr>
        <w:t>月</w:t>
      </w:r>
      <w:r>
        <w:rPr>
          <w:rFonts w:eastAsia="標楷體"/>
        </w:rPr>
        <w:t>25</w:t>
      </w:r>
      <w:r>
        <w:rPr>
          <w:rFonts w:eastAsia="標楷體"/>
        </w:rPr>
        <w:t>日</w:t>
      </w:r>
      <w:r>
        <w:rPr>
          <w:rFonts w:eastAsia="標楷體"/>
        </w:rPr>
        <w:t>)</w:t>
      </w:r>
      <w:r>
        <w:rPr>
          <w:rFonts w:eastAsia="標楷體"/>
        </w:rPr>
        <w:t>，「如何解決公務人員住的困難」，</w:t>
      </w:r>
      <w:r>
        <w:rPr>
          <w:rFonts w:eastAsia="標楷體"/>
          <w:b/>
        </w:rPr>
        <w:t>中國論壇</w:t>
      </w:r>
      <w:r>
        <w:rPr>
          <w:rFonts w:eastAsia="標楷體"/>
        </w:rPr>
        <w:t>，第一卷，第一期，第</w:t>
      </w:r>
      <w:r>
        <w:rPr>
          <w:rFonts w:eastAsia="標楷體"/>
        </w:rPr>
        <w:t>38-42</w:t>
      </w:r>
      <w:r>
        <w:rPr>
          <w:rFonts w:eastAsia="標楷體"/>
        </w:rPr>
        <w:t>頁。</w:t>
      </w:r>
    </w:p>
    <w:p>
      <w:pPr>
        <w:pStyle w:val="Normal"/>
        <w:numPr>
          <w:ilvl w:val="0"/>
          <w:numId w:val="4"/>
        </w:numPr>
        <w:snapToGrid w:val="false"/>
        <w:spacing w:lineRule="auto" w:line="360"/>
        <w:rPr>
          <w:rFonts w:ascii="標楷體" w:hAnsi="標楷體" w:eastAsia="標楷體"/>
          <w:sz w:val="26"/>
        </w:rPr>
      </w:pPr>
      <w:r>
        <w:rPr>
          <w:rFonts w:eastAsia="標楷體"/>
        </w:rPr>
        <w:t>Pathak, S. and Kolhe, M. V.</w:t>
      </w:r>
      <w:r>
        <w:rPr>
          <w:sz w:val="23"/>
          <w:szCs w:val="23"/>
        </w:rPr>
        <w:t xml:space="preserve"> (2016)</w:t>
      </w:r>
      <w:r>
        <w:rPr>
          <w:rFonts w:eastAsia="標楷體"/>
        </w:rPr>
        <w:t xml:space="preserve">, "Emotion Recognition from Speech Signals Using Deep Learning Methods", </w:t>
      </w:r>
      <w:r>
        <w:rPr>
          <w:rFonts w:eastAsia="標楷體"/>
          <w:i/>
        </w:rPr>
        <w:t>Imperial Journal of Interdisciplinary Research</w:t>
      </w:r>
      <w:r>
        <w:rPr>
          <w:rFonts w:eastAsia="標楷體"/>
        </w:rPr>
        <w:t>,</w:t>
      </w:r>
      <w:r>
        <w:rPr>
          <w:rFonts w:eastAsia="標楷體"/>
        </w:rPr>
        <w:t xml:space="preserve"> vol. 2, no. 9</w:t>
      </w:r>
      <w:r>
        <w:rPr>
          <w:rFonts w:eastAsia="標楷體"/>
        </w:rPr>
        <w:t>, pp.</w:t>
      </w:r>
      <w:r>
        <w:rPr>
          <w:rFonts w:eastAsia="標楷體"/>
        </w:rPr>
        <w:t xml:space="preserve"> </w:t>
      </w:r>
      <w:r>
        <w:rPr>
          <w:rFonts w:eastAsia="標楷體"/>
        </w:rPr>
        <w:t>1</w:t>
      </w:r>
      <w:r>
        <w:rPr>
          <w:rFonts w:eastAsia="標楷體"/>
        </w:rPr>
        <w:t>9</w:t>
      </w:r>
      <w:r>
        <w:rPr>
          <w:rFonts w:eastAsia="標楷體"/>
        </w:rPr>
        <w:t>-2</w:t>
      </w:r>
      <w:r>
        <w:rPr>
          <w:rFonts w:eastAsia="標楷體"/>
        </w:rPr>
        <w:t>4</w:t>
      </w:r>
      <w:r>
        <w:rPr>
          <w:rFonts w:eastAsia="標楷體"/>
        </w:rPr>
        <w:t>.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6"/>
        </w:rPr>
      </w:pPr>
      <w:r>
        <w:rPr>
          <w:rFonts w:eastAsia="標楷體" w:ascii="標楷體" w:hAnsi="標楷體"/>
          <w:sz w:val="26"/>
        </w:rPr>
      </w:r>
    </w:p>
    <w:p>
      <w:pPr>
        <w:pStyle w:val="Normal"/>
        <w:snapToGrid w:val="false"/>
        <w:spacing w:lineRule="auto" w:line="360"/>
        <w:rPr/>
      </w:pPr>
      <w:r>
        <w:rPr>
          <w:rFonts w:ascii="標楷體" w:hAnsi="標楷體" w:eastAsia="標楷體"/>
          <w:sz w:val="26"/>
        </w:rPr>
        <w:t>會議論文集</w:t>
      </w:r>
      <w:r>
        <w:rPr>
          <w:rFonts w:eastAsia="標楷體" w:ascii="標楷體" w:hAnsi="標楷體"/>
          <w:sz w:val="26"/>
        </w:rPr>
        <w:t>:</w:t>
      </w:r>
    </w:p>
    <w:p>
      <w:pPr>
        <w:pStyle w:val="Normal"/>
        <w:numPr>
          <w:ilvl w:val="0"/>
          <w:numId w:val="2"/>
        </w:numPr>
        <w:snapToGrid w:val="false"/>
        <w:spacing w:lineRule="auto" w:line="360"/>
        <w:rPr>
          <w:rFonts w:eastAsia="標楷體"/>
        </w:rPr>
      </w:pPr>
      <w:r>
        <w:rPr>
          <w:rFonts w:eastAsia="標楷體"/>
        </w:rPr>
        <w:t>蔡中</w:t>
      </w:r>
      <w:r>
        <w:rPr>
          <w:rFonts w:eastAsia="標楷體"/>
        </w:rPr>
        <w:t>(1978</w:t>
      </w:r>
      <w:r>
        <w:rPr>
          <w:rFonts w:eastAsia="標楷體"/>
        </w:rPr>
        <w:t>年</w:t>
      </w:r>
      <w:r>
        <w:rPr>
          <w:rFonts w:eastAsia="標楷體"/>
        </w:rPr>
        <w:t>6</w:t>
      </w:r>
      <w:r>
        <w:rPr>
          <w:rFonts w:eastAsia="標楷體"/>
        </w:rPr>
        <w:t>月</w:t>
      </w:r>
      <w:r>
        <w:rPr>
          <w:rFonts w:eastAsia="標楷體"/>
        </w:rPr>
        <w:t>)</w:t>
      </w:r>
      <w:r>
        <w:rPr>
          <w:rFonts w:eastAsia="標楷體"/>
        </w:rPr>
        <w:t>，「拓撲分析法之電性意義」，</w:t>
      </w:r>
      <w:r>
        <w:rPr>
          <w:rFonts w:eastAsia="標楷體"/>
          <w:b/>
        </w:rPr>
        <w:t>67</w:t>
      </w:r>
      <w:r>
        <w:rPr>
          <w:rFonts w:eastAsia="標楷體"/>
          <w:b/>
        </w:rPr>
        <w:t>年度電子材料、元件及電子電路技術研討會</w:t>
      </w:r>
      <w:r>
        <w:rPr>
          <w:rFonts w:eastAsia="標楷體"/>
        </w:rPr>
        <w:t>，台北，第</w:t>
      </w:r>
      <w:r>
        <w:rPr>
          <w:rFonts w:eastAsia="標楷體"/>
        </w:rPr>
        <w:t>52-57</w:t>
      </w:r>
      <w:r>
        <w:rPr>
          <w:rFonts w:eastAsia="標楷體"/>
        </w:rPr>
        <w:t>頁。</w:t>
      </w:r>
    </w:p>
    <w:p>
      <w:pPr>
        <w:pStyle w:val="Normal"/>
        <w:numPr>
          <w:ilvl w:val="0"/>
          <w:numId w:val="2"/>
        </w:numPr>
        <w:snapToGrid w:val="false"/>
        <w:spacing w:lineRule="auto" w:line="360"/>
        <w:rPr>
          <w:rFonts w:ascii="標楷體" w:hAnsi="標楷體" w:eastAsia="標楷體"/>
          <w:sz w:val="26"/>
        </w:rPr>
      </w:pPr>
      <w:r>
        <w:rPr>
          <w:rFonts w:cs="CMR12;Times New Roman" w:ascii="CMR12;Times New Roman" w:hAnsi="CMR12;Times New Roman"/>
          <w:kern w:val="0"/>
        </w:rPr>
        <w:t>Huang</w:t>
      </w:r>
      <w:r>
        <w:rPr>
          <w:rFonts w:cs="CMR12;Times New Roman" w:ascii="CMR12;Times New Roman" w:hAnsi="CMR12;Times New Roman"/>
          <w:kern w:val="0"/>
        </w:rPr>
        <w:t>,</w:t>
      </w:r>
      <w:r>
        <w:rPr>
          <w:rFonts w:cs="CMR12;Times New Roman" w:ascii="CMR12;Times New Roman" w:hAnsi="CMR12;Times New Roman"/>
          <w:kern w:val="0"/>
        </w:rPr>
        <w:t xml:space="preserve"> S</w:t>
      </w:r>
      <w:r>
        <w:rPr>
          <w:rFonts w:cs="CMR12;Times New Roman" w:ascii="CMR12;Times New Roman" w:hAnsi="CMR12;Times New Roman"/>
          <w:kern w:val="0"/>
        </w:rPr>
        <w:t xml:space="preserve">. </w:t>
      </w:r>
      <w:r>
        <w:rPr>
          <w:rFonts w:cs="CMR12;Times New Roman" w:ascii="CMR12;Times New Roman" w:hAnsi="CMR12;Times New Roman"/>
          <w:kern w:val="0"/>
        </w:rPr>
        <w:t>W</w:t>
      </w:r>
      <w:r>
        <w:rPr>
          <w:rFonts w:cs="CMR12;Times New Roman" w:ascii="CMR12;Times New Roman" w:hAnsi="CMR12;Times New Roman"/>
          <w:kern w:val="0"/>
        </w:rPr>
        <w:t xml:space="preserve">. and </w:t>
      </w:r>
      <w:r>
        <w:rPr>
          <w:rFonts w:cs="CMR12;Times New Roman" w:ascii="CMR12;Times New Roman" w:hAnsi="CMR12;Times New Roman"/>
          <w:kern w:val="0"/>
        </w:rPr>
        <w:t>Lin</w:t>
      </w:r>
      <w:r>
        <w:rPr>
          <w:rFonts w:cs="CMR12;Times New Roman" w:ascii="CMR12;Times New Roman" w:hAnsi="CMR12;Times New Roman"/>
          <w:kern w:val="0"/>
        </w:rPr>
        <w:t>,</w:t>
      </w:r>
      <w:r>
        <w:rPr>
          <w:rFonts w:cs="CMR12;Times New Roman" w:ascii="CMR12;Times New Roman" w:hAnsi="CMR12;Times New Roman"/>
          <w:kern w:val="0"/>
        </w:rPr>
        <w:t xml:space="preserve"> S</w:t>
      </w:r>
      <w:r>
        <w:rPr>
          <w:rFonts w:cs="CMR12;Times New Roman" w:ascii="CMR12;Times New Roman" w:hAnsi="CMR12;Times New Roman"/>
          <w:kern w:val="0"/>
        </w:rPr>
        <w:t xml:space="preserve">. </w:t>
      </w:r>
      <w:r>
        <w:rPr>
          <w:rFonts w:cs="CMR12;Times New Roman" w:ascii="CMR12;Times New Roman" w:hAnsi="CMR12;Times New Roman"/>
          <w:kern w:val="0"/>
        </w:rPr>
        <w:t>W</w:t>
      </w:r>
      <w:r>
        <w:rPr>
          <w:rFonts w:cs="CMR12;Times New Roman" w:ascii="CMR12;Times New Roman" w:hAnsi="CMR12;Times New Roman"/>
          <w:kern w:val="0"/>
        </w:rPr>
        <w:t>.</w:t>
      </w:r>
      <w:r>
        <w:rPr>
          <w:sz w:val="23"/>
          <w:szCs w:val="23"/>
        </w:rPr>
        <w:t xml:space="preserve"> (2008, Feb.)</w:t>
      </w:r>
      <w:r>
        <w:rPr>
          <w:rFonts w:cs="CMR12;Times New Roman" w:ascii="CMR12;Times New Roman" w:hAnsi="CMR12;Times New Roman"/>
          <w:kern w:val="0"/>
        </w:rPr>
        <w:t>,</w:t>
      </w:r>
      <w:r>
        <w:rPr>
          <w:rFonts w:eastAsia="標楷體"/>
          <w:color w:val="000000"/>
        </w:rPr>
        <w:t xml:space="preserve"> "</w:t>
      </w:r>
      <w:r>
        <w:rPr>
          <w:rFonts w:eastAsia="標楷體"/>
          <w:color w:val="000000"/>
        </w:rPr>
        <w:t>A Comparison Study of Mathematical Aggregation</w:t>
      </w:r>
      <w:r>
        <w:rPr>
          <w:rFonts w:eastAsia="標楷體"/>
          <w:color w:val="000000"/>
        </w:rPr>
        <w:t xml:space="preserve"> </w:t>
      </w:r>
      <w:r>
        <w:rPr>
          <w:rFonts w:eastAsia="標楷體"/>
          <w:color w:val="000000"/>
        </w:rPr>
        <w:t>Methods for Combining Experts’ Distribution</w:t>
      </w:r>
      <w:r>
        <w:rPr>
          <w:rFonts w:eastAsia="標楷體"/>
          <w:color w:val="000000"/>
        </w:rPr>
        <w:t xml:space="preserve"> </w:t>
      </w:r>
      <w:r>
        <w:rPr>
          <w:rFonts w:eastAsia="標楷體"/>
          <w:color w:val="000000"/>
        </w:rPr>
        <w:t>Judgments</w:t>
      </w:r>
      <w:r>
        <w:rPr>
          <w:rFonts w:eastAsia="標楷體"/>
          <w:color w:val="000000"/>
        </w:rPr>
        <w:t xml:space="preserve">", </w:t>
      </w:r>
      <w:r>
        <w:rPr>
          <w:rFonts w:eastAsia="標楷體"/>
          <w:i/>
          <w:color w:val="000000"/>
        </w:rPr>
        <w:t>T</w:t>
      </w:r>
      <w:r>
        <w:rPr>
          <w:rFonts w:eastAsia="標楷體"/>
          <w:i/>
          <w:color w:val="000000"/>
        </w:rPr>
        <w:t>he</w:t>
      </w:r>
      <w:r>
        <w:rPr>
          <w:rFonts w:eastAsia="標楷體"/>
          <w:i/>
          <w:color w:val="000000"/>
        </w:rPr>
        <w:t xml:space="preserve"> 8</w:t>
      </w:r>
      <w:r>
        <w:rPr>
          <w:rFonts w:eastAsia="標楷體"/>
          <w:i/>
          <w:color w:val="000000"/>
        </w:rPr>
        <w:t>th</w:t>
      </w:r>
      <w:r>
        <w:rPr>
          <w:rFonts w:eastAsia="標楷體"/>
          <w:i/>
          <w:color w:val="000000"/>
        </w:rPr>
        <w:t xml:space="preserve"> </w:t>
      </w:r>
      <w:r>
        <w:rPr>
          <w:rFonts w:eastAsia="標楷體"/>
          <w:i/>
          <w:color w:val="000000"/>
        </w:rPr>
        <w:t>Annual</w:t>
      </w:r>
      <w:r>
        <w:rPr>
          <w:rFonts w:eastAsia="標楷體"/>
          <w:i/>
          <w:color w:val="000000"/>
        </w:rPr>
        <w:t xml:space="preserve"> H</w:t>
      </w:r>
      <w:r>
        <w:rPr>
          <w:rFonts w:eastAsia="標楷體"/>
          <w:i/>
          <w:color w:val="000000"/>
        </w:rPr>
        <w:t>awaii</w:t>
      </w:r>
      <w:r>
        <w:rPr>
          <w:rFonts w:eastAsia="標楷體"/>
          <w:i/>
          <w:color w:val="000000"/>
        </w:rPr>
        <w:t xml:space="preserve"> I</w:t>
      </w:r>
      <w:r>
        <w:rPr>
          <w:rFonts w:eastAsia="標楷體"/>
          <w:i/>
          <w:color w:val="000000"/>
        </w:rPr>
        <w:t>nternational</w:t>
      </w:r>
      <w:r>
        <w:rPr>
          <w:rFonts w:eastAsia="標楷體"/>
          <w:i/>
          <w:color w:val="000000"/>
        </w:rPr>
        <w:t xml:space="preserve"> C</w:t>
      </w:r>
      <w:r>
        <w:rPr>
          <w:rFonts w:eastAsia="標楷體"/>
          <w:i/>
          <w:color w:val="000000"/>
        </w:rPr>
        <w:t>onference</w:t>
      </w:r>
      <w:r>
        <w:rPr>
          <w:rFonts w:eastAsia="標楷體"/>
          <w:i/>
          <w:color w:val="000000"/>
        </w:rPr>
        <w:t xml:space="preserve"> </w:t>
      </w:r>
      <w:r>
        <w:rPr>
          <w:rFonts w:eastAsia="標楷體"/>
          <w:i/>
          <w:color w:val="000000"/>
        </w:rPr>
        <w:t>On</w:t>
      </w:r>
      <w:r>
        <w:rPr>
          <w:rFonts w:eastAsia="標楷體"/>
          <w:i/>
          <w:color w:val="000000"/>
        </w:rPr>
        <w:t xml:space="preserve"> B</w:t>
      </w:r>
      <w:r>
        <w:rPr>
          <w:rFonts w:eastAsia="標楷體"/>
          <w:i/>
          <w:color w:val="000000"/>
        </w:rPr>
        <w:t>usiness</w:t>
      </w:r>
      <w:r>
        <w:rPr>
          <w:rFonts w:eastAsia="標楷體"/>
          <w:color w:val="000000"/>
        </w:rPr>
        <w:t xml:space="preserve">, </w:t>
      </w:r>
      <w:r>
        <w:rPr>
          <w:rFonts w:eastAsia="標楷體"/>
          <w:color w:val="000000"/>
        </w:rPr>
        <w:t>Honolulu, Hawaii</w:t>
      </w:r>
      <w:r>
        <w:rPr>
          <w:rFonts w:eastAsia="標楷體"/>
          <w:color w:val="000000"/>
        </w:rPr>
        <w:t>, pp. 102-104.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6"/>
        </w:rPr>
      </w:pPr>
      <w:r>
        <w:rPr>
          <w:rFonts w:eastAsia="標楷體" w:ascii="標楷體" w:hAnsi="標楷體"/>
          <w:sz w:val="26"/>
        </w:rPr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6"/>
        </w:rPr>
      </w:pPr>
      <w:r>
        <w:rPr>
          <w:rFonts w:ascii="標楷體" w:hAnsi="標楷體" w:eastAsia="標楷體"/>
          <w:sz w:val="26"/>
        </w:rPr>
        <w:t>學位論文</w:t>
      </w:r>
      <w:r>
        <w:rPr>
          <w:rFonts w:eastAsia="標楷體" w:ascii="標楷體" w:hAnsi="標楷體"/>
          <w:sz w:val="26"/>
        </w:rPr>
        <w:t>:</w:t>
      </w:r>
    </w:p>
    <w:p>
      <w:pPr>
        <w:pStyle w:val="Normal"/>
        <w:numPr>
          <w:ilvl w:val="0"/>
          <w:numId w:val="3"/>
        </w:numPr>
        <w:snapToGrid w:val="false"/>
        <w:spacing w:lineRule="auto" w:line="360"/>
        <w:rPr>
          <w:rFonts w:eastAsia="標楷體"/>
        </w:rPr>
      </w:pPr>
      <w:r>
        <w:rPr>
          <w:rFonts w:eastAsia="標楷體"/>
        </w:rPr>
        <w:t>陳毓昕</w:t>
      </w:r>
      <w:r>
        <w:rPr>
          <w:rFonts w:eastAsia="標楷體"/>
        </w:rPr>
        <w:t>(2018)</w:t>
      </w:r>
      <w:r>
        <w:rPr>
          <w:rFonts w:eastAsia="標楷體"/>
        </w:rPr>
        <w:t>，</w:t>
      </w:r>
      <w:r>
        <w:rPr>
          <w:rFonts w:eastAsia="標楷體"/>
          <w:b/>
        </w:rPr>
        <w:t>海洋無脊椎動物衍生菌所含活性化合物之研究</w:t>
      </w:r>
      <w:r>
        <w:rPr>
          <w:rFonts w:eastAsia="標楷體"/>
        </w:rPr>
        <w:t>，國立東華大學生物所博士論文，花蓮市，取自</w:t>
      </w:r>
      <w:r>
        <w:rPr>
          <w:rFonts w:eastAsia="Times New Roman"/>
        </w:rPr>
        <w:t xml:space="preserve"> </w:t>
      </w:r>
      <w:hyperlink r:id="rId2">
        <w:r>
          <w:rPr>
            <w:rStyle w:val="Hyperlink"/>
            <w:rFonts w:eastAsia="標楷體"/>
          </w:rPr>
          <w:t>https://hdl.handle.net/11296/ty5cax</w:t>
        </w:r>
      </w:hyperlink>
    </w:p>
    <w:p>
      <w:pPr>
        <w:pStyle w:val="Normal"/>
        <w:numPr>
          <w:ilvl w:val="0"/>
          <w:numId w:val="3"/>
        </w:numPr>
        <w:snapToGrid w:val="false"/>
        <w:spacing w:lineRule="auto" w:line="360"/>
        <w:rPr>
          <w:rFonts w:eastAsia="標楷體"/>
        </w:rPr>
      </w:pPr>
      <w:r>
        <w:rPr>
          <w:sz w:val="23"/>
          <w:szCs w:val="23"/>
        </w:rPr>
        <w:t>P</w:t>
      </w:r>
      <w:r>
        <w:rPr>
          <w:sz w:val="23"/>
          <w:szCs w:val="23"/>
        </w:rPr>
        <w:t>o</w:t>
      </w:r>
      <w:r>
        <w:rPr>
          <w:sz w:val="23"/>
          <w:szCs w:val="23"/>
        </w:rPr>
        <w:t>llard</w:t>
      </w:r>
      <w:r>
        <w:rPr>
          <w:sz w:val="23"/>
          <w:szCs w:val="23"/>
        </w:rPr>
        <w:t>,</w:t>
      </w:r>
      <w:r>
        <w:rPr>
          <w:sz w:val="23"/>
          <w:szCs w:val="23"/>
        </w:rPr>
        <w:t xml:space="preserve"> A</w:t>
      </w:r>
      <w:r>
        <w:rPr>
          <w:sz w:val="23"/>
          <w:szCs w:val="23"/>
        </w:rPr>
        <w:t>. (1978)</w:t>
      </w:r>
      <w:r>
        <w:rPr>
          <w:sz w:val="23"/>
          <w:szCs w:val="23"/>
        </w:rPr>
        <w:t xml:space="preserve">, </w:t>
      </w:r>
      <w:r>
        <w:rPr>
          <w:i/>
          <w:iCs/>
          <w:sz w:val="23"/>
          <w:szCs w:val="23"/>
        </w:rPr>
        <w:t>Flow in Tee Junction</w:t>
      </w:r>
      <w:r>
        <w:rPr>
          <w:sz w:val="23"/>
          <w:szCs w:val="23"/>
        </w:rPr>
        <w:t>, Ph.D. Thesis, University of London, London, U. K.</w:t>
      </w:r>
    </w:p>
    <w:p>
      <w:pPr>
        <w:pStyle w:val="Normal"/>
        <w:snapToGrid w:val="false"/>
        <w:spacing w:lineRule="auto" w:line="360"/>
        <w:rPr>
          <w:rFonts w:eastAsia="標楷體"/>
          <w:sz w:val="23"/>
          <w:szCs w:val="23"/>
        </w:rPr>
      </w:pPr>
      <w:r>
        <w:rPr>
          <w:rFonts w:eastAsia="標楷體"/>
          <w:sz w:val="23"/>
          <w:szCs w:val="23"/>
        </w:rPr>
      </w:r>
    </w:p>
    <w:p>
      <w:pPr>
        <w:pStyle w:val="Normal"/>
        <w:ind w:hanging="425" w:left="425" w:right="0"/>
        <w:jc w:val="both"/>
        <w:rPr>
          <w:rFonts w:eastAsia="標楷體"/>
        </w:rPr>
      </w:pPr>
      <w:r>
        <w:rPr>
          <w:rFonts w:eastAsia="標楷體"/>
        </w:rPr>
        <w:t>註：</w:t>
      </w:r>
      <w:r>
        <w:rPr>
          <w:rFonts w:eastAsia="標楷體"/>
        </w:rPr>
        <w:t>本規範為一般性規範，各系</w:t>
      </w:r>
      <w:r>
        <w:rPr>
          <w:rFonts w:eastAsia="標楷體"/>
        </w:rPr>
        <w:t>所或</w:t>
      </w:r>
      <w:r>
        <w:rPr>
          <w:rFonts w:eastAsia="標楷體"/>
        </w:rPr>
        <w:t>指導教授得依其學術領域之慣用格式，訂定相關規範。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6"/>
        </w:rPr>
      </w:pPr>
      <w:r>
        <w:rPr>
          <w:rFonts w:eastAsia="標楷體" w:ascii="標楷體" w:hAnsi="標楷體"/>
          <w:sz w:val="26"/>
        </w:rPr>
      </w:r>
    </w:p>
    <w:sectPr>
      <w:type w:val="nextPage"/>
      <w:pgSz w:w="11906" w:h="16838"/>
      <w:pgMar w:left="1797" w:right="1797" w:gutter="0" w:header="0" w:top="1134" w:footer="0" w:bottom="1134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標楷體">
    <w:charset w:val="88"/>
    <w:family w:val="script"/>
    <w:pitch w:val="default"/>
  </w:font>
  <w:font w:name="Liberation Sans">
    <w:altName w:val="Arial"/>
    <w:charset w:val="88"/>
    <w:family w:val="swiss"/>
    <w:pitch w:val="variable"/>
  </w:font>
  <w:font w:name="CMR12">
    <w:altName w:val="Times New Roman"/>
    <w:charset w:val="00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90" w:hanging="390"/>
      </w:pPr>
      <w:rPr>
        <w:sz w:val="26"/>
        <w:rFonts w:ascii="標楷體" w:hAnsi="標楷體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6"/>
        <w:rFonts w:ascii="標楷體" w:hAnsi="標楷體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6"/>
        <w:rFonts w:ascii="標楷體" w:hAnsi="標楷體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6"/>
        <w:rFonts w:ascii="標楷體" w:hAnsi="標楷體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defaultTabStop w:val="48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0"/>
      <w:lang w:val="en-US" w:eastAsia="zh-TW" w:bidi="ar-SA"/>
    </w:rPr>
  </w:style>
  <w:style w:type="character" w:styleId="WW8Num1z0">
    <w:name w:val="WW8Num1z0"/>
    <w:qFormat/>
    <w:rPr>
      <w:rFonts w:ascii="標楷體" w:hAnsi="標楷體"/>
      <w:sz w:val="26"/>
    </w:rPr>
  </w:style>
  <w:style w:type="character" w:styleId="WW8Num2z0">
    <w:name w:val="WW8Num2z0"/>
    <w:qFormat/>
    <w:rPr>
      <w:rFonts w:ascii="標楷體" w:hAnsi="標楷體"/>
      <w:sz w:val="26"/>
    </w:rPr>
  </w:style>
  <w:style w:type="character" w:styleId="WW8Num3z0">
    <w:name w:val="WW8Num3z0"/>
    <w:qFormat/>
    <w:rPr>
      <w:rFonts w:ascii="標楷體" w:hAnsi="標楷體"/>
      <w:sz w:val="26"/>
    </w:rPr>
  </w:style>
  <w:style w:type="character" w:styleId="WW8Num4z0">
    <w:name w:val="WW8Num4z0"/>
    <w:qFormat/>
    <w:rPr>
      <w:rFonts w:ascii="標楷體" w:hAnsi="標楷體"/>
      <w:sz w:val="26"/>
    </w:rPr>
  </w:style>
  <w:style w:type="character" w:styleId="Style14">
    <w:name w:val="預設段落字型"/>
    <w:qFormat/>
    <w:rPr/>
  </w:style>
  <w:style w:type="character" w:styleId="Style15">
    <w:name w:val="頁首 字元"/>
    <w:qFormat/>
    <w:rPr>
      <w:kern w:val="2"/>
    </w:rPr>
  </w:style>
  <w:style w:type="character" w:styleId="Style16">
    <w:name w:val="頁尾 字元"/>
    <w:qFormat/>
    <w:rPr>
      <w:kern w:val="2"/>
    </w:rPr>
  </w:style>
  <w:style w:type="character" w:styleId="Hyperlink">
    <w:name w:val="Hyperlink"/>
    <w:rPr>
      <w:color w:val="0000FF"/>
      <w:u w:val="single"/>
    </w:rPr>
  </w:style>
  <w:style w:type="paragraph" w:styleId="Style17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</w:rPr>
  </w:style>
  <w:style w:type="paragraph" w:styleId="TOC1">
    <w:name w:val="toc 1"/>
    <w:basedOn w:val="Normal"/>
    <w:next w:val="Normal"/>
    <w:pPr>
      <w:spacing w:before="360" w:after="0"/>
    </w:pPr>
    <w:rPr>
      <w:rFonts w:ascii="Arial" w:hAnsi="Arial" w:cs="Arial"/>
      <w:b/>
      <w:caps/>
    </w:rPr>
  </w:style>
  <w:style w:type="paragraph" w:styleId="TOC2">
    <w:name w:val="toc 2"/>
    <w:basedOn w:val="Normal"/>
    <w:next w:val="Normal"/>
    <w:pPr>
      <w:spacing w:before="240" w:after="0"/>
    </w:pPr>
    <w:rPr>
      <w:b/>
      <w:sz w:val="20"/>
    </w:rPr>
  </w:style>
  <w:style w:type="paragraph" w:styleId="TOC3">
    <w:name w:val="toc 3"/>
    <w:basedOn w:val="Normal"/>
    <w:next w:val="Normal"/>
    <w:pPr>
      <w:ind w:hanging="0" w:left="240" w:right="0"/>
    </w:pPr>
    <w:rPr>
      <w:sz w:val="20"/>
    </w:rPr>
  </w:style>
  <w:style w:type="paragraph" w:styleId="TOC4">
    <w:name w:val="toc 4"/>
    <w:basedOn w:val="Normal"/>
    <w:next w:val="Normal"/>
    <w:pPr>
      <w:ind w:hanging="0" w:left="480" w:right="0"/>
    </w:pPr>
    <w:rPr>
      <w:sz w:val="20"/>
    </w:rPr>
  </w:style>
  <w:style w:type="paragraph" w:styleId="TOC5">
    <w:name w:val="toc 5"/>
    <w:basedOn w:val="Normal"/>
    <w:next w:val="Normal"/>
    <w:pPr>
      <w:ind w:hanging="0" w:left="720" w:right="0"/>
    </w:pPr>
    <w:rPr>
      <w:sz w:val="20"/>
    </w:rPr>
  </w:style>
  <w:style w:type="paragraph" w:styleId="TOC6">
    <w:name w:val="toc 6"/>
    <w:basedOn w:val="Normal"/>
    <w:next w:val="Normal"/>
    <w:pPr>
      <w:ind w:hanging="0" w:left="960" w:right="0"/>
    </w:pPr>
    <w:rPr>
      <w:sz w:val="20"/>
    </w:rPr>
  </w:style>
  <w:style w:type="paragraph" w:styleId="TOC7">
    <w:name w:val="toc 7"/>
    <w:basedOn w:val="Normal"/>
    <w:next w:val="Normal"/>
    <w:pPr>
      <w:ind w:hanging="0" w:left="1200" w:right="0"/>
    </w:pPr>
    <w:rPr>
      <w:sz w:val="20"/>
    </w:rPr>
  </w:style>
  <w:style w:type="paragraph" w:styleId="TOC8">
    <w:name w:val="toc 8"/>
    <w:basedOn w:val="Normal"/>
    <w:next w:val="Normal"/>
    <w:pPr>
      <w:ind w:hanging="0" w:left="1440" w:right="0"/>
    </w:pPr>
    <w:rPr>
      <w:sz w:val="20"/>
    </w:rPr>
  </w:style>
  <w:style w:type="paragraph" w:styleId="TOC9">
    <w:name w:val="toc 9"/>
    <w:basedOn w:val="Normal"/>
    <w:next w:val="Normal"/>
    <w:pPr>
      <w:ind w:hanging="0" w:left="1680" w:right="0"/>
    </w:pPr>
    <w:rPr>
      <w:sz w:val="20"/>
    </w:rPr>
  </w:style>
  <w:style w:type="paragraph" w:styleId="Style19">
    <w:name w:val="日期"/>
    <w:basedOn w:val="Normal"/>
    <w:next w:val="Normal"/>
    <w:qFormat/>
    <w:pPr>
      <w:jc w:val="right"/>
    </w:pPr>
    <w:rPr>
      <w:rFonts w:ascii="標楷體" w:hAnsi="標楷體" w:eastAsia="標楷體"/>
      <w:sz w:val="28"/>
    </w:rPr>
  </w:style>
  <w:style w:type="paragraph" w:styleId="Style20">
    <w:name w:val="頁首與頁尾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hdl.handle.net/11296/ty5cax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2019-11-12T15:20:00Z</dcterms:created>
  <dc:creator>yzu</dc:creator>
  <dc:description/>
  <cp:keywords/>
  <dc:language>zh-TW</dc:language>
  <cp:lastModifiedBy>黃思瑋</cp:lastModifiedBy>
  <cp:lastPrinted>2001-09-21T11:26:00Z</cp:lastPrinted>
  <dcterms:modified xsi:type="dcterms:W3CDTF">2019-12-19T10:21:00Z</dcterms:modified>
  <cp:revision>22</cp:revision>
  <dc:subject/>
  <dc:title>目       錄</dc:title>
</cp:coreProperties>
</file>