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  <w:t>References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480"/>
          <w:tab w:val="left" w:pos="284" w:leader="none"/>
        </w:tabs>
        <w:spacing w:lineRule="auto" w:line="360"/>
        <w:ind w:hanging="993" w:left="993" w:right="0"/>
        <w:jc w:val="both"/>
        <w:rPr>
          <w:kern w:val="0"/>
        </w:rPr>
      </w:pPr>
      <w:r>
        <w:rPr>
          <w:rFonts w:eastAsia="標楷體"/>
          <w:color w:val="000000"/>
        </w:rPr>
        <w:t>Books:</w:t>
      </w:r>
    </w:p>
    <w:p>
      <w:pPr>
        <w:pStyle w:val="Normal"/>
        <w:widowControl/>
        <w:spacing w:lineRule="auto" w:line="360"/>
        <w:ind w:hanging="989" w:left="1272" w:right="0"/>
        <w:jc w:val="both"/>
        <w:rPr>
          <w:kern w:val="0"/>
        </w:rPr>
      </w:pPr>
      <w:r>
        <w:rPr>
          <w:rFonts w:eastAsia="標楷體"/>
          <w:color w:val="000000"/>
        </w:rPr>
        <w:t xml:space="preserve">Example: </w:t>
      </w:r>
      <w:r>
        <w:rPr>
          <w:rFonts w:eastAsia="標楷體"/>
        </w:rPr>
        <w:t>Jelinek, F.</w:t>
      </w:r>
      <w:r>
        <w:rPr>
          <w:sz w:val="23"/>
          <w:szCs w:val="23"/>
        </w:rPr>
        <w:t xml:space="preserve"> (1968)</w:t>
      </w:r>
      <w:r>
        <w:rPr>
          <w:rFonts w:eastAsia="標楷體"/>
        </w:rPr>
        <w:t xml:space="preserve">, </w:t>
      </w:r>
      <w:r>
        <w:rPr>
          <w:rFonts w:eastAsia="標楷體"/>
          <w:i/>
        </w:rPr>
        <w:t>Probabilistic Information Theory</w:t>
      </w:r>
      <w:r>
        <w:rPr>
          <w:rFonts w:eastAsia="標楷體"/>
        </w:rPr>
        <w:t>, McGraw-</w:t>
      </w:r>
      <w:r>
        <w:rPr>
          <w:rFonts w:eastAsia="標楷體"/>
        </w:rPr>
        <w:t>Hill,</w:t>
      </w:r>
      <w:r>
        <w:rPr>
          <w:rFonts w:eastAsia="標楷體"/>
        </w:rPr>
        <w:t xml:space="preserve"> </w:t>
      </w:r>
      <w:r>
        <w:rPr>
          <w:rFonts w:eastAsia="標楷體"/>
        </w:rPr>
        <w:t>New</w:t>
      </w:r>
      <w:r>
        <w:rPr>
          <w:rFonts w:eastAsia="標楷體"/>
        </w:rPr>
        <w:t xml:space="preserve"> </w:t>
      </w:r>
      <w:r>
        <w:rPr>
          <w:rFonts w:eastAsia="標楷體"/>
        </w:rPr>
        <w:t>York,</w:t>
      </w:r>
      <w:r>
        <w:rPr>
          <w:rFonts w:eastAsia="標楷體"/>
        </w:rPr>
        <w:t xml:space="preserve"> pp. 79-82</w:t>
      </w:r>
      <w:r>
        <w:rPr>
          <w:rFonts w:eastAsia="標楷體"/>
        </w:rPr>
        <w:t>.</w:t>
      </w:r>
    </w:p>
    <w:p>
      <w:pPr>
        <w:pStyle w:val="Normal"/>
        <w:widowControl/>
        <w:numPr>
          <w:ilvl w:val="0"/>
          <w:numId w:val="1"/>
        </w:numPr>
        <w:tabs>
          <w:tab w:val="clear" w:pos="480"/>
          <w:tab w:val="left" w:pos="284" w:leader="none"/>
        </w:tabs>
        <w:spacing w:lineRule="auto" w:line="360"/>
        <w:ind w:hanging="993" w:left="993" w:right="0"/>
        <w:jc w:val="both"/>
        <w:rPr>
          <w:kern w:val="0"/>
        </w:rPr>
      </w:pPr>
      <w:r>
        <w:rPr>
          <w:rFonts w:eastAsia="標楷體"/>
          <w:color w:val="000000"/>
        </w:rPr>
        <w:t>Journals:</w:t>
      </w:r>
    </w:p>
    <w:p>
      <w:pPr>
        <w:pStyle w:val="Normal"/>
        <w:widowControl/>
        <w:spacing w:lineRule="auto" w:line="360"/>
        <w:ind w:hanging="989" w:left="1272" w:right="0"/>
        <w:jc w:val="both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Example: </w:t>
      </w:r>
      <w:r>
        <w:rPr>
          <w:rFonts w:eastAsia="標楷體"/>
        </w:rPr>
        <w:t>Pathak, S. and Kolhe, M. V.</w:t>
      </w:r>
      <w:r>
        <w:rPr>
          <w:sz w:val="23"/>
          <w:szCs w:val="23"/>
        </w:rPr>
        <w:t xml:space="preserve"> (2016)</w:t>
      </w:r>
      <w:r>
        <w:rPr>
          <w:rFonts w:eastAsia="標楷體"/>
        </w:rPr>
        <w:t xml:space="preserve">, "Emotion Recognition from Speech Signals Using Deep Learning Methods", </w:t>
      </w:r>
      <w:r>
        <w:rPr>
          <w:rFonts w:eastAsia="標楷體"/>
          <w:i/>
        </w:rPr>
        <w:t>Imperial Journal of Interdisciplinary Research</w:t>
      </w:r>
      <w:r>
        <w:rPr>
          <w:rFonts w:eastAsia="標楷體"/>
        </w:rPr>
        <w:t>,</w:t>
      </w:r>
      <w:r>
        <w:rPr>
          <w:rFonts w:eastAsia="標楷體"/>
        </w:rPr>
        <w:t xml:space="preserve"> vol. 2, no. 9</w:t>
      </w:r>
      <w:r>
        <w:rPr>
          <w:rFonts w:eastAsia="標楷體"/>
        </w:rPr>
        <w:t>, pp.</w:t>
      </w:r>
      <w:r>
        <w:rPr>
          <w:rFonts w:eastAsia="標楷體"/>
        </w:rPr>
        <w:t xml:space="preserve"> </w:t>
      </w:r>
      <w:r>
        <w:rPr>
          <w:rFonts w:eastAsia="標楷體"/>
        </w:rPr>
        <w:t>1</w:t>
      </w:r>
      <w:r>
        <w:rPr>
          <w:rFonts w:eastAsia="標楷體"/>
        </w:rPr>
        <w:t>9</w:t>
      </w:r>
      <w:r>
        <w:rPr>
          <w:rFonts w:eastAsia="標楷體"/>
        </w:rPr>
        <w:t>-2</w:t>
      </w:r>
      <w:r>
        <w:rPr>
          <w:rFonts w:eastAsia="標楷體"/>
        </w:rPr>
        <w:t>4</w:t>
      </w:r>
      <w:r>
        <w:rPr>
          <w:rFonts w:eastAsia="標楷體"/>
        </w:rPr>
        <w:t>.</w:t>
      </w:r>
    </w:p>
    <w:p>
      <w:pPr>
        <w:pStyle w:val="Normal"/>
        <w:widowControl/>
        <w:numPr>
          <w:ilvl w:val="0"/>
          <w:numId w:val="1"/>
        </w:numPr>
        <w:tabs>
          <w:tab w:val="clear" w:pos="480"/>
          <w:tab w:val="left" w:pos="284" w:leader="none"/>
        </w:tabs>
        <w:spacing w:lineRule="auto" w:line="360"/>
        <w:jc w:val="both"/>
        <w:rPr>
          <w:kern w:val="0"/>
        </w:rPr>
      </w:pPr>
      <w:r>
        <w:rPr>
          <w:rFonts w:eastAsia="標楷體"/>
        </w:rPr>
        <w:t>Seminar/Conference Symposium:</w:t>
      </w:r>
    </w:p>
    <w:p>
      <w:pPr>
        <w:pStyle w:val="Normal"/>
        <w:widowControl/>
        <w:spacing w:lineRule="auto" w:line="360"/>
        <w:ind w:hanging="989" w:left="1272" w:right="0"/>
        <w:jc w:val="both"/>
        <w:rPr>
          <w:rFonts w:eastAsia="標楷體"/>
          <w:color w:val="000000"/>
        </w:rPr>
      </w:pPr>
      <w:r>
        <w:rPr>
          <w:rFonts w:eastAsia="標楷體"/>
          <w:color w:val="000000"/>
        </w:rPr>
        <w:t>Example:</w:t>
      </w:r>
      <w:r>
        <w:rPr>
          <w:rFonts w:cs="CMR12;Times New Roman" w:ascii="CMR12;Times New Roman" w:hAnsi="CMR12;Times New Roman"/>
          <w:kern w:val="0"/>
          <w:szCs w:val="24"/>
        </w:rPr>
        <w:t xml:space="preserve"> </w:t>
      </w:r>
      <w:r>
        <w:rPr>
          <w:rFonts w:cs="CMR12;Times New Roman" w:ascii="CMR12;Times New Roman" w:hAnsi="CMR12;Times New Roman"/>
          <w:kern w:val="0"/>
        </w:rPr>
        <w:t>Huang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 xml:space="preserve">. and </w:t>
      </w:r>
      <w:r>
        <w:rPr>
          <w:rFonts w:cs="CMR12;Times New Roman" w:ascii="CMR12;Times New Roman" w:hAnsi="CMR12;Times New Roman"/>
          <w:kern w:val="0"/>
        </w:rPr>
        <w:t>Lin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>.</w:t>
      </w:r>
      <w:r>
        <w:rPr>
          <w:sz w:val="23"/>
          <w:szCs w:val="23"/>
        </w:rPr>
        <w:t xml:space="preserve"> (2008, Feb.)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eastAsia="標楷體"/>
          <w:color w:val="000000"/>
        </w:rPr>
        <w:t xml:space="preserve"> "</w:t>
      </w:r>
      <w:r>
        <w:rPr>
          <w:rFonts w:eastAsia="標楷體"/>
          <w:color w:val="000000"/>
        </w:rPr>
        <w:t>A Comparison Study of Mathematical Aggregation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>Methods for Combining Experts’ Distribution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>Judgments</w:t>
      </w:r>
      <w:r>
        <w:rPr>
          <w:rFonts w:eastAsia="標楷體"/>
          <w:color w:val="000000"/>
        </w:rPr>
        <w:t xml:space="preserve">", </w:t>
      </w:r>
      <w:r>
        <w:rPr>
          <w:rFonts w:eastAsia="標楷體"/>
          <w:i/>
          <w:color w:val="000000"/>
        </w:rPr>
        <w:t>T</w:t>
      </w:r>
      <w:r>
        <w:rPr>
          <w:rFonts w:eastAsia="標楷體"/>
          <w:i/>
          <w:color w:val="000000"/>
        </w:rPr>
        <w:t>he</w:t>
      </w:r>
      <w:r>
        <w:rPr>
          <w:rFonts w:eastAsia="標楷體"/>
          <w:i/>
          <w:color w:val="000000"/>
        </w:rPr>
        <w:t xml:space="preserve"> 8</w:t>
      </w:r>
      <w:r>
        <w:rPr>
          <w:rFonts w:eastAsia="標楷體"/>
          <w:i/>
          <w:color w:val="000000"/>
        </w:rPr>
        <w:t>th</w:t>
      </w:r>
      <w:r>
        <w:rPr>
          <w:rFonts w:eastAsia="標楷體"/>
          <w:i/>
          <w:color w:val="000000"/>
        </w:rPr>
        <w:t xml:space="preserve"> </w:t>
      </w:r>
      <w:r>
        <w:rPr>
          <w:rFonts w:eastAsia="標楷體"/>
          <w:i/>
          <w:color w:val="000000"/>
        </w:rPr>
        <w:t>Annual</w:t>
      </w:r>
      <w:r>
        <w:rPr>
          <w:rFonts w:eastAsia="標楷體"/>
          <w:i/>
          <w:color w:val="000000"/>
        </w:rPr>
        <w:t xml:space="preserve"> H</w:t>
      </w:r>
      <w:r>
        <w:rPr>
          <w:rFonts w:eastAsia="標楷體"/>
          <w:i/>
          <w:color w:val="000000"/>
        </w:rPr>
        <w:t>awaii</w:t>
      </w:r>
      <w:r>
        <w:rPr>
          <w:rFonts w:eastAsia="標楷體"/>
          <w:i/>
          <w:color w:val="000000"/>
        </w:rPr>
        <w:t xml:space="preserve"> I</w:t>
      </w:r>
      <w:r>
        <w:rPr>
          <w:rFonts w:eastAsia="標楷體"/>
          <w:i/>
          <w:color w:val="000000"/>
        </w:rPr>
        <w:t>nternational</w:t>
      </w:r>
      <w:r>
        <w:rPr>
          <w:rFonts w:eastAsia="標楷體"/>
          <w:i/>
          <w:color w:val="000000"/>
        </w:rPr>
        <w:t xml:space="preserve"> C</w:t>
      </w:r>
      <w:r>
        <w:rPr>
          <w:rFonts w:eastAsia="標楷體"/>
          <w:i/>
          <w:color w:val="000000"/>
        </w:rPr>
        <w:t>onference</w:t>
      </w:r>
      <w:r>
        <w:rPr>
          <w:rFonts w:eastAsia="標楷體"/>
          <w:i/>
          <w:color w:val="000000"/>
        </w:rPr>
        <w:t xml:space="preserve"> </w:t>
      </w:r>
      <w:r>
        <w:rPr>
          <w:rFonts w:eastAsia="標楷體"/>
          <w:i/>
          <w:color w:val="000000"/>
        </w:rPr>
        <w:t>On</w:t>
      </w:r>
      <w:r>
        <w:rPr>
          <w:rFonts w:eastAsia="標楷體"/>
          <w:i/>
          <w:color w:val="000000"/>
        </w:rPr>
        <w:t xml:space="preserve"> B</w:t>
      </w:r>
      <w:r>
        <w:rPr>
          <w:rFonts w:eastAsia="標楷體"/>
          <w:i/>
          <w:color w:val="000000"/>
        </w:rPr>
        <w:t>usiness</w:t>
      </w:r>
      <w:r>
        <w:rPr>
          <w:rFonts w:eastAsia="標楷體"/>
          <w:color w:val="000000"/>
        </w:rPr>
        <w:t xml:space="preserve">, </w:t>
      </w:r>
      <w:r>
        <w:rPr>
          <w:rFonts w:eastAsia="標楷體"/>
          <w:color w:val="000000"/>
        </w:rPr>
        <w:t>Honolulu, Hawaii</w:t>
      </w:r>
      <w:r>
        <w:rPr>
          <w:rFonts w:eastAsia="標楷體"/>
          <w:color w:val="000000"/>
        </w:rPr>
        <w:t>, pp. 102-104.</w:t>
      </w:r>
    </w:p>
    <w:p>
      <w:pPr>
        <w:pStyle w:val="Normal"/>
        <w:widowControl/>
        <w:numPr>
          <w:ilvl w:val="0"/>
          <w:numId w:val="1"/>
        </w:numPr>
        <w:tabs>
          <w:tab w:val="clear" w:pos="480"/>
          <w:tab w:val="left" w:pos="284" w:leader="none"/>
        </w:tabs>
        <w:spacing w:lineRule="auto" w:line="360"/>
        <w:jc w:val="both"/>
        <w:rPr>
          <w:kern w:val="0"/>
        </w:rPr>
      </w:pPr>
      <w:r>
        <w:rPr>
          <w:rFonts w:eastAsia="標楷體"/>
          <w:color w:val="000000"/>
        </w:rPr>
        <w:t>Theses:</w:t>
      </w:r>
    </w:p>
    <w:p>
      <w:pPr>
        <w:pStyle w:val="Normal"/>
        <w:widowControl/>
        <w:spacing w:lineRule="auto" w:line="360"/>
        <w:ind w:hanging="989" w:left="1272" w:right="0"/>
        <w:jc w:val="both"/>
        <w:rPr>
          <w:kern w:val="0"/>
        </w:rPr>
      </w:pPr>
      <w:r>
        <w:rPr>
          <w:rFonts w:eastAsia="標楷體"/>
          <w:color w:val="000000"/>
        </w:rPr>
        <w:t xml:space="preserve">Example: </w:t>
      </w:r>
      <w:r>
        <w:rPr>
          <w:sz w:val="23"/>
          <w:szCs w:val="23"/>
        </w:rPr>
        <w:t>P</w:t>
      </w:r>
      <w:r>
        <w:rPr>
          <w:sz w:val="23"/>
          <w:szCs w:val="23"/>
        </w:rPr>
        <w:t>o</w:t>
      </w:r>
      <w:r>
        <w:rPr>
          <w:sz w:val="23"/>
          <w:szCs w:val="23"/>
        </w:rPr>
        <w:t>llard</w:t>
      </w:r>
      <w:r>
        <w:rPr>
          <w:sz w:val="23"/>
          <w:szCs w:val="23"/>
        </w:rPr>
        <w:t>,</w:t>
      </w:r>
      <w:r>
        <w:rPr>
          <w:sz w:val="23"/>
          <w:szCs w:val="23"/>
        </w:rPr>
        <w:t xml:space="preserve"> A</w:t>
      </w:r>
      <w:r>
        <w:rPr>
          <w:sz w:val="23"/>
          <w:szCs w:val="23"/>
        </w:rPr>
        <w:t>. (1978)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Flow in Tee Junction</w:t>
      </w:r>
      <w:r>
        <w:rPr>
          <w:sz w:val="23"/>
          <w:szCs w:val="23"/>
        </w:rPr>
        <w:t>, Ph.D. Thesis, University of London, London, U. K.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kern w:val="0"/>
          <w:sz w:val="26"/>
        </w:rPr>
      </w:pPr>
      <w:r>
        <w:rPr>
          <w:rFonts w:eastAsia="標楷體" w:ascii="標楷體" w:hAnsi="標楷體"/>
          <w:kern w:val="0"/>
          <w:sz w:val="26"/>
        </w:rPr>
      </w:r>
    </w:p>
    <w:p>
      <w:pPr>
        <w:pStyle w:val="Normal"/>
        <w:snapToGrid w:val="false"/>
        <w:spacing w:lineRule="auto" w:line="360"/>
        <w:rPr>
          <w:rFonts w:eastAsia="標楷體"/>
          <w:sz w:val="26"/>
        </w:rPr>
      </w:pPr>
      <w:r>
        <w:rPr>
          <w:rFonts w:eastAsia="標楷體"/>
          <w:sz w:val="26"/>
        </w:rPr>
        <w:t>Note</w:t>
      </w:r>
      <w:r>
        <w:rPr>
          <w:rFonts w:eastAsia="標楷體"/>
          <w:color w:val="000000"/>
        </w:rPr>
        <w:t>: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/>
        <w:t>Each advisor may specify the format of references according to the specific field of study.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  <w:font w:name="CMR12">
    <w:altName w:val="Times New Roman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2z0">
    <w:name w:val="WW8Num2z0"/>
    <w:qFormat/>
    <w:rPr>
      <w:rFonts w:eastAsia="新細明體;PMingLiU"/>
    </w:rPr>
  </w:style>
  <w:style w:type="character" w:styleId="WW8Num2z1">
    <w:name w:val="WW8Num2z1"/>
    <w:qFormat/>
    <w:rPr>
      <w:rFonts w:eastAsia="新細明體;PMingLiU"/>
      <w:color w:val="000000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9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  <w:style w:type="paragraph" w:styleId="Style20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2019-11-18T13:17:00Z</dcterms:created>
  <dc:creator>yzu</dc:creator>
  <dc:description/>
  <cp:keywords/>
  <dc:language>zh-TW</dc:language>
  <cp:lastModifiedBy>黃思瑋</cp:lastModifiedBy>
  <cp:lastPrinted>2001-09-21T11:26:00Z</cp:lastPrinted>
  <dcterms:modified xsi:type="dcterms:W3CDTF">2019-12-19T10:20:00Z</dcterms:modified>
  <cp:revision>16</cp:revision>
  <dc:subject/>
  <dc:title>目       錄</dc:title>
</cp:coreProperties>
</file>