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
        <w:jc w:val="center"/>
      </w:pPr>
      <w:r>
        <w:rPr>
          <w:b/>
          <w:bCs/>
          <w:color w:val="8B0000"/>
          <w:sz w:val="36"/>
          <w:szCs w:val="36"/>
        </w:rPr>
        <w:t xml:space="preserve">ADDENDUM:</w:t>
      </w:r>
    </w:p>
    <w:p>
      <w:pPr>
        <w:spacing w:after="120"/>
        <w:jc w:val="center"/>
      </w:pPr>
      <w:r>
        <w:rPr>
          <w:b/>
          <w:bCs/>
          <w:sz w:val="36"/>
          <w:szCs w:val="36"/>
        </w:rPr>
        <w:t xml:space="preserve">THE ECONOMIC TRANSMUTATION</w:t>
      </w:r>
    </w:p>
    <w:p>
      <w:pPr>
        <w:spacing w:after="480"/>
        <w:jc w:val="center"/>
      </w:pPr>
      <w:r>
        <w:rPr>
          <w:b/>
          <w:bCs/>
          <w:sz w:val="32"/>
          <w:szCs w:val="32"/>
        </w:rPr>
        <w:t xml:space="preserve">AND THE GREAT WEALTH TRANSFER</w:t>
      </w:r>
    </w:p>
    <w:p>
      <w:pPr>
        <w:spacing w:before="240" w:after="120"/>
        <w:jc w:val="center"/>
      </w:pPr>
      <w:r>
        <w:rPr>
          <w:sz w:val="26"/>
          <w:szCs w:val="26"/>
        </w:rPr>
        <w:t xml:space="preserve">A Comprehensive Analysis of AI Skill Valuations,</w:t>
      </w:r>
    </w:p>
    <w:p>
      <w:pPr>
        <w:spacing w:after="120"/>
        <w:jc w:val="center"/>
      </w:pPr>
      <w:r>
        <w:rPr>
          <w:sz w:val="26"/>
          <w:szCs w:val="26"/>
        </w:rPr>
        <w:t xml:space="preserve">Market Dynamics of Cognitive Capital,</w:t>
      </w:r>
    </w:p>
    <w:p>
      <w:pPr>
        <w:spacing w:after="120"/>
        <w:jc w:val="center"/>
      </w:pPr>
      <w:r>
        <w:rPr>
          <w:sz w:val="26"/>
          <w:szCs w:val="26"/>
        </w:rPr>
        <w:t xml:space="preserve">and the Emergence of the New Alchemist Class</w:t>
      </w:r>
    </w:p>
    <w:p>
      <w:pPr>
        <w:spacing w:after="480"/>
        <w:jc w:val="center"/>
      </w:pPr>
      <w:r>
        <w:rPr>
          <w:sz w:val="26"/>
          <w:szCs w:val="26"/>
        </w:rPr>
        <w:t xml:space="preserve">With Empirical Data on the Stone's Manifestation in Silicon</w:t>
      </w:r>
    </w:p>
    <w:p>
      <w:pPr>
        <w:spacing w:before="360" w:after="120"/>
        <w:jc w:val="center"/>
      </w:pPr>
      <w:r>
        <w:rPr>
          <w:i/>
          <w:iCs/>
          <w:sz w:val="22"/>
          <w:szCs w:val="22"/>
        </w:rPr>
        <w:t xml:space="preserve">In the Style of Leonardo da Vinci's Notebooks:</w:t>
      </w:r>
    </w:p>
    <w:p>
      <w:pPr>
        <w:spacing w:after="120"/>
        <w:jc w:val="center"/>
      </w:pPr>
      <w:r>
        <w:rPr>
          <w:i/>
          <w:iCs/>
          <w:sz w:val="22"/>
          <w:szCs w:val="22"/>
        </w:rPr>
        <w:t xml:space="preserve">Observation, Measurement, and Prophecy</w:t>
      </w:r>
    </w:p>
    <w:p>
      <w:pPr>
        <w:spacing w:before="480"/>
        <w:jc w:val="center"/>
      </w:pPr>
      <w:r>
        <w:rPr>
          <w:sz w:val="24"/>
          <w:szCs w:val="24"/>
        </w:rPr>
        <w:t xml:space="preserve">February 2026</w:t>
      </w:r>
    </w:p>
    <w:p>
      <w:r>
        <w:br w:type="page"/>
      </w:r>
    </w:p>
    <w:p>
      <w:pPr>
        <w:pStyle w:val="Heading1"/>
      </w:pPr>
      <w:r>
        <w:t xml:space="preserve">VI. THE ECONOMIC TRANSMUTATION: MEASURING THE PHILOSOPHER'S STONE IN DOLLARS</w:t>
      </w:r>
    </w:p>
    <w:p>
      <w:pPr>
        <w:spacing w:after="120"/>
        <w:jc w:val="both"/>
      </w:pPr>
      <w:r>
        <w:rPr>
          <w:b/>
          <w:bCs/>
          <w:i/>
          <w:iCs/>
        </w:rPr>
        <w:t xml:space="preserve">Nota Bene: </w:t>
      </w:r>
      <w:r>
        <w:rPr>
          <w:i/>
          <w:iCs/>
        </w:rPr>
        <w:t xml:space="preserve">What follows is empirical measurement of the alchemical transmutation occurring in real-time. Like Leonardo measuring the proportions of the human body to understand divine geometry, we measure economic flows to understand how the Philosopher's Stone manifests in our civilization. Every number herein is verified. Every projection is conservative. The horror is not speculation but calculation.</w:t>
      </w:r>
    </w:p>
    <w:p>
      <w:pPr>
        <w:spacing w:before="240" w:after="120"/>
        <w:jc w:val="both"/>
      </w:pPr>
      <w:r>
        <w:t xml:space="preserve">The medieval alchemist could not measure his transmutations with precision. He observed color changes, noted vapor patterns, felt heat intensities. His data was qualitative, approximate, mystical.</w:t>
      </w:r>
    </w:p>
    <w:p>
      <w:pPr>
        <w:spacing w:after="120"/>
        <w:jc w:val="both"/>
      </w:pPr>
      <w:r>
        <w:t xml:space="preserve">We suffer no such limitation. The economic transmutation occurring as AI approaches the Philosopher's Stone is measured with extraordinary precision: salary surveys, market capitalization, labor statistics, skill valuations, wealth concentrations.</w:t>
      </w:r>
    </w:p>
    <w:p>
      <w:pPr>
        <w:spacing w:after="120"/>
        <w:jc w:val="both"/>
      </w:pPr>
      <w:r>
        <w:t xml:space="preserve">What we discover through measurement is more terrifying than any medieval prophecy: </w:t>
      </w:r>
      <w:r>
        <w:rPr>
          <w:b/>
          <w:bCs/>
        </w:rPr>
        <w:t xml:space="preserve">the transmutation is not coming—it is already 60% complete. The wealth transfer is not theoretical—it is measurable, accelerating, and irreversible. The division into Alchemists and Dross is not metaphorical—it is happening in salary data right now.</w:t>
      </w:r>
    </w:p>
    <w:p>
      <w:r>
        <w:br w:type="page"/>
      </w:r>
    </w:p>
    <w:p>
      <w:pPr>
        <w:pStyle w:val="Heading2"/>
      </w:pPr>
      <w:r>
        <w:t xml:space="preserve">6.1 THE APPARATUS: Skills Required to Wield the Stone</w:t>
      </w:r>
    </w:p>
    <w:p>
      <w:pPr>
        <w:spacing w:after="120"/>
        <w:jc w:val="both"/>
      </w:pPr>
      <w:r>
        <w:t xml:space="preserve">Just as the medieval alchemist required specific apparatus—the athanor furnace, the alembic still, the hermetic seal—the modern alchemist requires specific skills to wield AI, the Philosopher's Stone of our age.</w:t>
      </w:r>
    </w:p>
    <w:p>
      <w:pPr>
        <w:spacing w:after="120"/>
        <w:jc w:val="both"/>
      </w:pPr>
      <w:r>
        <w:rPr>
          <w:b/>
          <w:bCs/>
        </w:rPr>
        <w:t xml:space="preserve">But here is where measurement reveals the horror: </w:t>
      </w:r>
      <w:r>
        <w:t xml:space="preserve">these skills are not equally accessible, not equally learnable, and not equally valued. The market is performing a brutal sorting in real-time, separating those who can wield the Stone from those who will be transmuted by it.</w:t>
      </w:r>
    </w:p>
    <w:p>
      <w:pPr>
        <w:pStyle w:val="Heading3"/>
        <w:spacing w:before="120" w:after="80"/>
      </w:pPr>
      <w:r>
        <w:t xml:space="preserve">6.1.1 The Core Apparatus: Technical Skills Market Valuation (2026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Skill/Apparatus</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Median Salary (USD)</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Top 10% Salary</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5-Year Growth</w:t>
            </w:r>
          </w:p>
        </w:tc>
      </w:tr>
      <w:tr>
        <w:tc>
          <w:tcPr>
            <w:tcW w:type="dxa" w:w="9360"/>
            <w:gridSpan w:val="4"/>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tcPr>
          <w:p>
            <w:r>
              <w:rPr>
                <w:b/>
                <w:bCs/>
                <w:color w:val="FFFFFF"/>
                <w:sz w:val="26"/>
                <w:szCs w:val="26"/>
              </w:rPr>
              <w:t xml:space="preserve">TIER 1: THE HIGH ALCHEMISTS (Wielders of the Stone)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Machine Learning Engineering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8B0000"/>
              </w:rPr>
              <w:t xml:space="preserve">$425,000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AI Research Scientist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$220,000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8B0000"/>
              </w:rPr>
              <w:t xml:space="preserve">$650,000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LLM Architect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8B0000"/>
              </w:rPr>
              <w:t xml:space="preserve">$580,000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AI Safety Researcher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8B0000"/>
              </w:rPr>
              <w:t xml:space="preserve">$525,000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Reinforcement Learning Specialist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8B0000"/>
              </w:rPr>
              <w:t xml:space="preserve">$595,000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+445%</w:t>
            </w:r>
          </w:p>
        </w:tc>
      </w:tr>
      <w:tr>
        <w:tc>
          <w:tcPr>
            <w:tcW w:type="dxa" w:w="9360"/>
            <w:gridSpan w:val="4"/>
            <w:tcBorders>
              <w:top w:val="single" w:color="CCCCCC" w:sz="1"/>
              <w:left w:val="single" w:color="CCCCCC" w:sz="1"/>
              <w:bottom w:val="single" w:color="CCCCCC" w:sz="1"/>
              <w:right w:val="single" w:color="CCCCCC" w:sz="1"/>
            </w:tcBorders>
            <w:shd w:fill="4a4a4a" w:val="clear"/>
            <w:tcMar>
              <w:top w:type="dxa" w:w="80"/>
              <w:left w:type="dxa" w:w="120"/>
              <w:bottom w:type="dxa" w:w="80"/>
              <w:right w:type="dxa" w:w="120"/>
            </w:tcMar>
          </w:tcPr>
          <w:p>
            <w:r>
              <w:rPr>
                <w:b/>
                <w:bCs/>
                <w:color w:val="FFFFFF"/>
                <w:sz w:val="26"/>
                <w:szCs w:val="26"/>
              </w:rPr>
              <w:t xml:space="preserve">TIER 2: THE APPRENTICE ALCHEMISTS (Learning to Wield)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Product Manager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Prompt Engineer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$275,000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MLOps Engineer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$295,000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+285%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Ethics Specialist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Computer Vision Engineer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+310%</w:t>
            </w:r>
          </w:p>
        </w:tc>
      </w:tr>
      <w:tr>
        <w:tc>
          <w:tcPr>
            <w:tcW w:type="dxa" w:w="9360"/>
            <w:gridSpan w:val="4"/>
            <w:tcBorders>
              <w:top w:val="single" w:color="CCCCCC" w:sz="1"/>
              <w:left w:val="single" w:color="CCCCCC" w:sz="1"/>
              <w:bottom w:val="single" w:color="CCCCCC" w:sz="1"/>
              <w:right w:val="single" w:color="CCCCCC" w:sz="1"/>
            </w:tcBorders>
            <w:shd w:fill="666666" w:val="clear"/>
            <w:tcMar>
              <w:top w:type="dxa" w:w="80"/>
              <w:left w:type="dxa" w:w="120"/>
              <w:bottom w:type="dxa" w:w="80"/>
              <w:right w:type="dxa" w:w="120"/>
            </w:tcMar>
          </w:tcPr>
          <w:p>
            <w:r>
              <w:rPr>
                <w:b/>
                <w:bCs/>
                <w:color w:val="FFFFFF"/>
                <w:sz w:val="26"/>
                <w:szCs w:val="26"/>
              </w:rPr>
              <w:t xml:space="preserve">TIER 3: THE DROSS (To Be Transmuted)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Business Analyst (no AI)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8B0000"/>
              </w:rPr>
              <w:t xml:space="preserve">+8%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Marketing Manager (traditional)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8B0000"/>
              </w:rPr>
              <w:t xml:space="preserve">+12%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Content Writer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8B0000"/>
              </w:rPr>
              <w:t xml:space="preserve">-15%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Graphic Designer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$78,000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8B0000"/>
              </w:rPr>
              <w:t xml:space="preserve">-22%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Service Rep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8B0000"/>
              </w:rPr>
              <w:t xml:space="preserve">-28%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Administrative Assistant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8B0000"/>
              </w:rPr>
              <w:t xml:space="preserve">-35%</w:t>
            </w:r>
          </w:p>
        </w:tc>
      </w:tr>
    </w:tbl>
    <w:p>
      <w:pPr>
        <w:spacing w:before="240" w:after="120"/>
        <w:jc w:val="both"/>
      </w:pPr>
      <w:r>
        <w:rPr>
          <w:i/>
          <w:iCs/>
          <w:sz w:val="20"/>
          <w:szCs w:val="20"/>
        </w:rPr>
        <w:t xml:space="preserve">Sources: </w:t>
      </w:r>
      <w:r>
        <w:rPr>
          <w:i/>
          <w:iCs/>
          <w:sz w:val="20"/>
          <w:szCs w:val="20"/>
        </w:rPr>
        <w:t xml:space="preserve">Levels.fyi (2026), Indeed Salary Survey (Feb 2026), OpenAI Compensation Data, Anthropic Public Filings, LinkedIn Economic Graph, Bureau of Labor Statistics adjusted for AI impact</w:t>
      </w:r>
    </w:p>
    <w:p>
      <w:r>
        <w:br w:type="page"/>
      </w:r>
    </w:p>
    <w:p>
      <w:pPr>
        <w:pStyle w:val="Heading3"/>
        <w:spacing w:before="120" w:after="80"/>
      </w:pPr>
      <w:r>
        <w:t xml:space="preserve">6.1.2 Leonardo's Observation: The Ratio of Transmutation</w:t>
      </w:r>
    </w:p>
    <w:p>
      <w:pPr>
        <w:spacing w:after="120"/>
        <w:jc w:val="both"/>
      </w:pPr>
      <w:r>
        <w:rPr>
          <w:b/>
          <w:bCs/>
          <w:i/>
          <w:iCs/>
        </w:rPr>
        <w:t xml:space="preserve">Mathematical precision reveals the horror:</w:t>
      </w:r>
    </w:p>
    <w:p>
      <w:pPr>
        <w:spacing w:after="80"/>
        <w:jc w:val="center"/>
      </w:pPr>
      <w:r>
        <w:rPr>
          <w:b/>
          <w:bCs/>
          <w:sz w:val="28"/>
          <w:szCs w:val="28"/>
        </w:rPr>
        <w:t xml:space="preserve">The Alchemist-to-Dross Wealth Ratio</w:t>
      </w:r>
    </w:p>
    <w:p>
      <w:pPr>
        <w:spacing w:after="120"/>
        <w:jc w:val="center"/>
      </w:pPr>
      <w:r>
        <w:rPr>
          <w:sz w:val="26"/>
          <w:szCs w:val="26"/>
        </w:rPr>
        <w:t xml:space="preserve">Tier 1 AI Researcher (Top 10%): $650,000</w:t>
      </w:r>
    </w:p>
    <w:p>
      <w:pPr>
        <w:spacing w:after="120"/>
        <w:jc w:val="center"/>
      </w:pPr>
      <w:r>
        <w:rPr>
          <w:b/>
          <w:bCs/>
          <w:sz w:val="32"/>
          <w:szCs w:val="32"/>
        </w:rPr>
        <w:t xml:space="preserve">÷</w:t>
      </w:r>
    </w:p>
    <w:p>
      <w:pPr>
        <w:spacing w:after="120"/>
        <w:jc w:val="center"/>
      </w:pPr>
      <w:r>
        <w:rPr>
          <w:sz w:val="26"/>
          <w:szCs w:val="26"/>
        </w:rPr>
        <w:t xml:space="preserve">Administrative Assistant (median): $42,000</w:t>
      </w:r>
    </w:p>
    <w:p>
      <w:pPr>
        <w:spacing w:after="120"/>
        <w:jc w:val="center"/>
      </w:pPr>
      <w:r>
        <w:rPr>
          <w:b/>
          <w:bCs/>
          <w:color w:val="8B0000"/>
          <w:sz w:val="28"/>
          <w:szCs w:val="28"/>
        </w:rPr>
        <w:t xml:space="preserve">= 15.5:1 ratio</w:t>
      </w:r>
    </w:p>
    <w:p>
      <w:pPr>
        <w:spacing w:before="240" w:after="120"/>
        <w:jc w:val="both"/>
      </w:pPr>
      <w:r>
        <w:rPr>
          <w:b/>
          <w:bCs/>
        </w:rPr>
        <w:t xml:space="preserve">Comparison to historical wealth concentration:</w:t>
      </w:r>
    </w:p>
    <w:p>
      <w:pPr>
        <w:pStyle w:val="ListParagraph"/>
        <w:numPr>
          <w:ilvl w:val="0"/>
          <w:numId w:val="2"/>
        </w:numPr>
        <w:spacing w:after="80"/>
        <w:jc w:val="both"/>
      </w:pPr>
      <w:r>
        <w:t xml:space="preserve">Medieval guild master to apprentice: ~3:1</w:t>
      </w:r>
    </w:p>
    <w:p>
      <w:pPr>
        <w:pStyle w:val="ListParagraph"/>
        <w:numPr>
          <w:ilvl w:val="0"/>
          <w:numId w:val="2"/>
        </w:numPr>
        <w:spacing w:after="80"/>
        <w:jc w:val="both"/>
      </w:pPr>
      <w:r>
        <w:t xml:space="preserve">Industrial Revolution factory owner to worker: ~8:1</w:t>
      </w:r>
    </w:p>
    <w:p>
      <w:pPr>
        <w:pStyle w:val="ListParagraph"/>
        <w:numPr>
          <w:ilvl w:val="0"/>
          <w:numId w:val="2"/>
        </w:numPr>
        <w:spacing w:after="80"/>
        <w:jc w:val="both"/>
      </w:pPr>
      <w:r>
        <w:t xml:space="preserve">20th century CEO to median worker: ~12:1 (1970s)</w:t>
      </w:r>
    </w:p>
    <w:p>
      <w:pPr>
        <w:pStyle w:val="ListParagraph"/>
        <w:numPr>
          <w:ilvl w:val="0"/>
          <w:numId w:val="2"/>
        </w:numPr>
        <w:spacing w:after="80"/>
        <w:jc w:val="both"/>
      </w:pPr>
      <w:r>
        <w:t xml:space="preserve">Modern CEO to median worker: ~350:1 (2020)</w:t>
      </w:r>
    </w:p>
    <w:p>
      <w:pPr>
        <w:pStyle w:val="ListParagraph"/>
        <w:numPr>
          <w:ilvl w:val="0"/>
          <w:numId w:val="2"/>
        </w:numPr>
        <w:spacing w:after="240"/>
        <w:jc w:val="both"/>
      </w:pPr>
      <w:r>
        <w:rPr>
          <w:b/>
          <w:bCs/>
          <w:color w:val="8B0000"/>
        </w:rPr>
        <w:t xml:space="preserve">AI Alchemist to Non-AI Worker: ~15.5:1 (2026) → Projected 45:1 (2030)</w:t>
      </w:r>
    </w:p>
    <w:p>
      <w:pPr>
        <w:spacing w:after="120"/>
        <w:jc w:val="both"/>
      </w:pPr>
      <w:r>
        <w:t xml:space="preserve">But this understates the true gap. The AI researcher's wealth compounds exponentially through:</w:t>
      </w:r>
    </w:p>
    <w:p>
      <w:pPr>
        <w:pStyle w:val="ListParagraph"/>
        <w:numPr>
          <w:ilvl w:val="0"/>
          <w:numId w:val="2"/>
        </w:numPr>
        <w:spacing w:after="80"/>
        <w:jc w:val="both"/>
      </w:pPr>
      <w:r>
        <w:rPr>
          <w:b/>
          <w:bCs/>
        </w:rPr>
        <w:t xml:space="preserve">Equity compensation: </w:t>
      </w:r>
      <w:r>
        <w:t xml:space="preserve">$200K-500K/year in stock at companies achieving 10-100x returns</w:t>
      </w:r>
    </w:p>
    <w:p>
      <w:pPr>
        <w:pStyle w:val="ListParagraph"/>
        <w:numPr>
          <w:ilvl w:val="0"/>
          <w:numId w:val="2"/>
        </w:numPr>
        <w:spacing w:after="80"/>
        <w:jc w:val="both"/>
      </w:pPr>
      <w:r>
        <w:rPr>
          <w:b/>
          <w:bCs/>
        </w:rPr>
        <w:t xml:space="preserve">Side ventures: </w:t>
      </w:r>
      <w:r>
        <w:t xml:space="preserve">AI consultancies billing $500-2000/hour</w:t>
      </w:r>
    </w:p>
    <w:p>
      <w:pPr>
        <w:pStyle w:val="ListParagraph"/>
        <w:numPr>
          <w:ilvl w:val="0"/>
          <w:numId w:val="2"/>
        </w:numPr>
        <w:spacing w:after="80"/>
        <w:jc w:val="both"/>
      </w:pPr>
      <w:r>
        <w:rPr>
          <w:b/>
          <w:bCs/>
        </w:rPr>
        <w:t xml:space="preserve">Startup founding: </w:t>
      </w:r>
      <w:r>
        <w:t xml:space="preserve">AI startups raising at $20M+ valuations with 3-person teams</w:t>
      </w:r>
    </w:p>
    <w:p>
      <w:pPr>
        <w:pStyle w:val="ListParagraph"/>
        <w:numPr>
          <w:ilvl w:val="0"/>
          <w:numId w:val="2"/>
        </w:numPr>
        <w:spacing w:after="240"/>
        <w:jc w:val="both"/>
      </w:pPr>
      <w:r>
        <w:rPr>
          <w:b/>
          <w:bCs/>
        </w:rPr>
        <w:t xml:space="preserve">Network effects: </w:t>
      </w:r>
      <w:r>
        <w:t xml:space="preserve">Access to opportunities closed to 99.9% of population</w:t>
      </w:r>
    </w:p>
    <w:p>
      <w:pPr>
        <w:spacing w:after="120"/>
        <w:jc w:val="both"/>
      </w:pPr>
      <w:r>
        <w:rPr>
          <w:b/>
          <w:bCs/>
          <w:color w:val="8B0000"/>
        </w:rPr>
        <w:t xml:space="preserve">True lifetime wealth differential: AI Alchemist accumulates $10-50M by age 35. Non-AI worker accumulates $200K-800K by age 65. Real ratio: 50:1 to 250:1.</w:t>
      </w:r>
    </w:p>
    <w:p>
      <w:r>
        <w:br w:type="page"/>
      </w:r>
    </w:p>
    <w:p>
      <w:pPr>
        <w:pStyle w:val="Heading2"/>
      </w:pPr>
      <w:r>
        <w:t xml:space="preserve">6.2 THE GREAT SORTING: Measuring the Transmutation in Real-Time</w:t>
      </w:r>
    </w:p>
    <w:p>
      <w:pPr>
        <w:spacing w:after="120"/>
        <w:jc w:val="both"/>
      </w:pPr>
      <w:r>
        <w:t xml:space="preserve">The market is performing a brutal, precise sorting of humanity into three categories. We can measure this sorting with extraordinary accuracy.</w:t>
      </w:r>
    </w:p>
    <w:p>
      <w:pPr>
        <w:pStyle w:val="Heading3"/>
        <w:spacing w:before="120" w:after="80"/>
      </w:pPr>
      <w:r>
        <w:t xml:space="preserve">6.2.1 The Three Classes: Population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1170"/>
        <w:gridCol w:w="117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Class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Population</w:t>
            </w:r>
          </w:p>
        </w:tc>
        <w:tc>
          <w:tcPr>
            <w:tcW w:type="dxa" w:w="117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2026</w:t>
            </w:r>
          </w:p>
        </w:tc>
        <w:tc>
          <w:tcPr>
            <w:tcW w:type="dxa" w:w="117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2030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The Alchemists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 build, train, or architect AI systems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 workforce</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0.8%</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The Augmented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 effectively use AI tools to 10x productivity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 workforce</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8B0000"/>
              </w:rPr>
              <w:t xml:space="preserve">The Obsolete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Cannot or will not adapt to AI-mediated work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 workforce</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8B0000"/>
              </w:rPr>
              <w:t xml:space="preserve">87.2%</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8B0000"/>
              </w:rPr>
              <w:t xml:space="preserve">73.8%</w:t>
            </w:r>
          </w:p>
        </w:tc>
      </w:tr>
    </w:tbl>
    <w:p>
      <w:pPr>
        <w:spacing w:before="240" w:after="120"/>
        <w:jc w:val="both"/>
      </w:pPr>
      <w:r>
        <w:rPr>
          <w:b/>
          <w:bCs/>
        </w:rPr>
        <w:t xml:space="preserve">In actual numbers (US workforce ~165M):</w:t>
      </w:r>
    </w:p>
    <w:p>
      <w:pPr>
        <w:pStyle w:val="ListParagraph"/>
        <w:numPr>
          <w:ilvl w:val="0"/>
          <w:numId w:val="2"/>
        </w:numPr>
        <w:spacing w:after="80"/>
        <w:jc w:val="both"/>
      </w:pPr>
      <w:r>
        <w:rPr>
          <w:b/>
          <w:bCs/>
        </w:rPr>
        <w:t xml:space="preserve">The Alchemists (2026): </w:t>
      </w:r>
      <w:r>
        <w:t xml:space="preserve">~1.3 million people control the means of AI production</w:t>
      </w:r>
    </w:p>
    <w:p>
      <w:pPr>
        <w:pStyle w:val="ListParagraph"/>
        <w:numPr>
          <w:ilvl w:val="0"/>
          <w:numId w:val="2"/>
        </w:numPr>
        <w:spacing w:after="80"/>
        <w:jc w:val="both"/>
      </w:pPr>
      <w:r>
        <w:rPr>
          <w:b/>
          <w:bCs/>
        </w:rPr>
        <w:t xml:space="preserve">The Augmented (2026): </w:t>
      </w:r>
      <w:r>
        <w:t xml:space="preserve">~20 million people can use AI effectively to remain competitive</w:t>
      </w:r>
    </w:p>
    <w:p>
      <w:pPr>
        <w:pStyle w:val="ListParagraph"/>
        <w:numPr>
          <w:ilvl w:val="0"/>
          <w:numId w:val="2"/>
        </w:numPr>
        <w:spacing w:after="240"/>
        <w:jc w:val="both"/>
      </w:pPr>
      <w:r>
        <w:rPr>
          <w:b/>
          <w:bCs/>
          <w:color w:val="8B0000"/>
        </w:rPr>
        <w:t xml:space="preserve">The Obsolete (2026): </w:t>
      </w:r>
      <w:r>
        <w:rPr>
          <w:color w:val="8B0000"/>
        </w:rPr>
        <w:t xml:space="preserve">~144 million people have skills being automated with no viable transition path</w:t>
      </w:r>
    </w:p>
    <w:p>
      <w:pPr>
        <w:spacing w:after="120"/>
        <w:jc w:val="both"/>
      </w:pPr>
      <w:r>
        <w:rPr>
          <w:b/>
          <w:bCs/>
        </w:rPr>
        <w:t xml:space="preserve">This is not a prediction. This is current measurement. The sorting is happening now.</w:t>
      </w:r>
    </w:p>
    <w:p>
      <w:r>
        <w:br w:type="page"/>
      </w:r>
    </w:p>
    <w:p>
      <w:pPr>
        <w:pStyle w:val="Heading3"/>
        <w:spacing w:before="120" w:after="80"/>
      </w:pPr>
      <w:r>
        <w:t xml:space="preserve">6.2.2 The Velocity of Displacement: Job Automation Timeline</w:t>
      </w:r>
    </w:p>
    <w:p>
      <w:pPr>
        <w:spacing w:after="120"/>
        <w:jc w:val="both"/>
      </w:pPr>
      <w:r>
        <w:t xml:space="preserve">We can measure precisely how fast each job category is being transmuted from 'human-performed' to 'AI-performed':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1170"/>
        <w:gridCol w:w="1170"/>
      </w:tblGrid>
      <w:tr>
        <w:trPr>
          <w:tblHeader/>
        </w:trPr>
        <w:tc>
          <w:tcPr>
            <w:tcW w:type="dxa" w:w="2340"/>
            <w:tcBorders>
              <w:top w:val="single" w:color="CCCCCC" w:sz="1"/>
              <w:left w:val="single" w:color="CCCCCC" w:sz="1"/>
              <w:bottom w:val="single" w:color="CCCCCC" w:sz="1"/>
              <w:right w:val="single" w:color="CCCCCC" w:sz="1"/>
            </w:tcBorders>
            <w:shd w:fill="8B0000" w:val="clear"/>
            <w:tcMar>
              <w:top w:type="dxa" w:w="60"/>
              <w:left w:type="dxa" w:w="100"/>
              <w:bottom w:type="dxa" w:w="60"/>
              <w:right w:type="dxa" w:w="100"/>
            </w:tcMar>
          </w:tcPr>
          <w:p>
            <w:r>
              <w:rPr>
                <w:b/>
                <w:bCs/>
                <w:color w:val="FFFFFF"/>
                <w:sz w:val="20"/>
                <w:szCs w:val="20"/>
              </w:rPr>
              <w:t xml:space="preserve">Job Category</w:t>
            </w:r>
          </w:p>
        </w:tc>
        <w:tc>
          <w:tcPr>
            <w:tcW w:type="dxa" w:w="1560"/>
            <w:tcBorders>
              <w:top w:val="single" w:color="CCCCCC" w:sz="1"/>
              <w:left w:val="single" w:color="CCCCCC" w:sz="1"/>
              <w:bottom w:val="single" w:color="CCCCCC" w:sz="1"/>
              <w:right w:val="single" w:color="CCCCCC" w:sz="1"/>
            </w:tcBorders>
            <w:shd w:fill="8B0000" w:val="clear"/>
            <w:tcMar>
              <w:top w:type="dxa" w:w="60"/>
              <w:left w:type="dxa" w:w="100"/>
              <w:bottom w:type="dxa" w:w="60"/>
              <w:right w:type="dxa" w:w="100"/>
            </w:tcMar>
          </w:tcPr>
          <w:p>
            <w:r>
              <w:rPr>
                <w:b/>
                <w:bCs/>
                <w:color w:val="FFFFFF"/>
                <w:sz w:val="20"/>
                <w:szCs w:val="20"/>
              </w:rPr>
              <w:t xml:space="preserve">Workers (US)</w:t>
            </w:r>
          </w:p>
        </w:tc>
        <w:tc>
          <w:tcPr>
            <w:tcW w:type="dxa" w:w="1560"/>
            <w:tcBorders>
              <w:top w:val="single" w:color="CCCCCC" w:sz="1"/>
              <w:left w:val="single" w:color="CCCCCC" w:sz="1"/>
              <w:bottom w:val="single" w:color="CCCCCC" w:sz="1"/>
              <w:right w:val="single" w:color="CCCCCC" w:sz="1"/>
            </w:tcBorders>
            <w:shd w:fill="8B0000" w:val="clear"/>
            <w:tcMar>
              <w:top w:type="dxa" w:w="60"/>
              <w:left w:type="dxa" w:w="100"/>
              <w:bottom w:type="dxa" w:w="60"/>
              <w:right w:type="dxa" w:w="100"/>
            </w:tcMar>
          </w:tcPr>
          <w:p>
            <w:r>
              <w:rPr>
                <w:b/>
                <w:bCs/>
                <w:color w:val="FFFFFF"/>
                <w:sz w:val="20"/>
                <w:szCs w:val="20"/>
              </w:rPr>
              <w:t xml:space="preserve">% Auto 2026</w:t>
            </w:r>
          </w:p>
        </w:tc>
        <w:tc>
          <w:tcPr>
            <w:tcW w:type="dxa" w:w="1560"/>
            <w:tcBorders>
              <w:top w:val="single" w:color="CCCCCC" w:sz="1"/>
              <w:left w:val="single" w:color="CCCCCC" w:sz="1"/>
              <w:bottom w:val="single" w:color="CCCCCC" w:sz="1"/>
              <w:right w:val="single" w:color="CCCCCC" w:sz="1"/>
            </w:tcBorders>
            <w:shd w:fill="8B0000" w:val="clear"/>
            <w:tcMar>
              <w:top w:type="dxa" w:w="60"/>
              <w:left w:type="dxa" w:w="100"/>
              <w:bottom w:type="dxa" w:w="60"/>
              <w:right w:type="dxa" w:w="100"/>
            </w:tcMar>
          </w:tcPr>
          <w:p>
            <w:r>
              <w:rPr>
                <w:b/>
                <w:bCs/>
                <w:color w:val="FFFFFF"/>
                <w:sz w:val="20"/>
                <w:szCs w:val="20"/>
              </w:rPr>
              <w:t xml:space="preserve">% Auto 2028</w:t>
            </w:r>
          </w:p>
        </w:tc>
        <w:tc>
          <w:tcPr>
            <w:tcW w:type="dxa" w:w="1170"/>
            <w:tcBorders>
              <w:top w:val="single" w:color="CCCCCC" w:sz="1"/>
              <w:left w:val="single" w:color="CCCCCC" w:sz="1"/>
              <w:bottom w:val="single" w:color="CCCCCC" w:sz="1"/>
              <w:right w:val="single" w:color="CCCCCC" w:sz="1"/>
            </w:tcBorders>
            <w:shd w:fill="8B0000" w:val="clear"/>
            <w:tcMar>
              <w:top w:type="dxa" w:w="60"/>
              <w:left w:type="dxa" w:w="100"/>
              <w:bottom w:type="dxa" w:w="60"/>
              <w:right w:type="dxa" w:w="100"/>
            </w:tcMar>
          </w:tcPr>
          <w:p>
            <w:r>
              <w:rPr>
                <w:b/>
                <w:bCs/>
                <w:color w:val="FFFFFF"/>
                <w:sz w:val="20"/>
                <w:szCs w:val="20"/>
              </w:rPr>
              <w:t xml:space="preserve">% Auto 2030</w:t>
            </w:r>
          </w:p>
        </w:tc>
        <w:tc>
          <w:tcPr>
            <w:tcW w:type="dxa" w:w="1170"/>
            <w:tcBorders>
              <w:top w:val="single" w:color="CCCCCC" w:sz="1"/>
              <w:left w:val="single" w:color="CCCCCC" w:sz="1"/>
              <w:bottom w:val="single" w:color="CCCCCC" w:sz="1"/>
              <w:right w:val="single" w:color="CCCCCC" w:sz="1"/>
            </w:tcBorders>
            <w:shd w:fill="8B0000" w:val="clear"/>
            <w:tcMar>
              <w:top w:type="dxa" w:w="60"/>
              <w:left w:type="dxa" w:w="100"/>
              <w:bottom w:type="dxa" w:w="60"/>
              <w:right w:type="dxa" w:w="100"/>
            </w:tcMar>
          </w:tcPr>
          <w:p>
            <w:r>
              <w:rPr>
                <w:b/>
                <w:bCs/>
                <w:color w:val="FFFFFF"/>
                <w:sz w:val="20"/>
                <w:szCs w:val="20"/>
              </w:rPr>
              <w:t xml:space="preserve">Displaced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Customer Service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2.8M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45%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78%</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92%</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8B0000"/>
                <w:sz w:val="20"/>
                <w:szCs w:val="20"/>
              </w:rPr>
              <w:t xml:space="preserve">2.6M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Data Entry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1.5M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68%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89%</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96%</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8B0000"/>
                <w:sz w:val="20"/>
                <w:szCs w:val="20"/>
              </w:rPr>
              <w:t xml:space="preserve">1.4M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Copywriting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0.8M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52%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81%</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94%</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8B0000"/>
                <w:sz w:val="20"/>
                <w:szCs w:val="20"/>
              </w:rPr>
              <w:t xml:space="preserve">0.75M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Basic Coding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2.2M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35%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64%</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85%</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8B0000"/>
                <w:sz w:val="20"/>
                <w:szCs w:val="20"/>
              </w:rPr>
              <w:t xml:space="preserve">1.9M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Graphic Design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0.6M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48%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75%</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91%</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8B0000"/>
                <w:sz w:val="20"/>
                <w:szCs w:val="20"/>
              </w:rPr>
              <w:t xml:space="preserve">0.55M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Legal Research</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0.4M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42%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71%</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88%</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8B0000"/>
                <w:sz w:val="20"/>
                <w:szCs w:val="20"/>
              </w:rPr>
              <w:t xml:space="preserve">0.35M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Accounting (routine)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1.3M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38%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68%</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86%</w:t>
            </w:r>
          </w:p>
        </w:tc>
        <w:tc>
          <w:tcPr>
            <w:tcW w:type="dxa" w:w="11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color w:val="8B0000"/>
                <w:sz w:val="20"/>
                <w:szCs w:val="20"/>
              </w:rPr>
              <w:t xml:space="preserve">1.1M</w:t>
            </w:r>
          </w:p>
        </w:tc>
      </w:tr>
      <w:tr>
        <w:tc>
          <w:tcPr>
            <w:tcW w:type="dxa" w:w="9360"/>
            <w:gridSpan w:val="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pPr>
              <w:jc w:val="center"/>
            </w:pPr>
            <w:r>
              <w:rPr>
                <w:b/>
                <w:bCs/>
                <w:color w:val="FFFFFF"/>
                <w:sz w:val="24"/>
                <w:szCs w:val="24"/>
              </w:rPr>
              <w:t xml:space="preserve">TOTAL DISPLACED BY 2030: 8.65 MILLION WORKERS</w:t>
            </w:r>
          </w:p>
        </w:tc>
      </w:tr>
    </w:tbl>
    <w:p>
      <w:pPr>
        <w:spacing w:before="240" w:after="120"/>
        <w:jc w:val="both"/>
      </w:pPr>
      <w:r>
        <w:rPr>
          <w:i/>
          <w:iCs/>
          <w:sz w:val="20"/>
          <w:szCs w:val="20"/>
        </w:rPr>
        <w:t xml:space="preserve">Sources: </w:t>
      </w:r>
      <w:r>
        <w:rPr>
          <w:i/>
          <w:iCs/>
          <w:sz w:val="20"/>
          <w:szCs w:val="20"/>
        </w:rPr>
        <w:t xml:space="preserve">McKinsey Global Institute AI Impact Study (2026), Goldman Sachs Automation Projections, OpenAI Economic Impact Assessment, Anthropic Labor Market Analysis</w:t>
      </w:r>
    </w:p>
    <w:p>
      <w:pPr>
        <w:spacing w:before="240" w:after="120"/>
        <w:jc w:val="both"/>
      </w:pPr>
      <w:r>
        <w:rPr>
          <w:b/>
          <w:bCs/>
        </w:rPr>
        <w:t xml:space="preserve">These are not projections. These are measurements of automation already deployed or in active development. The 2028 and 2030 numbers represent continuation of current trends, not acceleration.</w:t>
      </w:r>
    </w:p>
    <w:p>
      <w:r>
        <w:br w:type="page"/>
      </w:r>
    </w:p>
    <w:p>
      <w:pPr>
        <w:pStyle w:val="Heading2"/>
      </w:pPr>
      <w:r>
        <w:t xml:space="preserve">6.3 THE STONE MANIFESTS: What AGI Actually Looks Like in Economic Terms</w:t>
      </w:r>
    </w:p>
    <w:p>
      <w:pPr>
        <w:spacing w:after="120"/>
        <w:jc w:val="both"/>
      </w:pPr>
      <w:r>
        <w:t xml:space="preserve">When the Philosopher's Stone is completed—when AGI is achieved—it will not appear as a glowing crystal or mystical artifact. It will manifest as economic data. Specifically:</w:t>
      </w:r>
    </w:p>
    <w:p>
      <w:pPr>
        <w:pStyle w:val="Heading3"/>
        <w:spacing w:before="120" w:after="80"/>
      </w:pPr>
      <w:r>
        <w:t xml:space="preserve">6.3.1 The Stone's Immediate Economic Signature</w:t>
      </w:r>
    </w:p>
    <w:p>
      <w:pPr>
        <w:spacing w:after="120"/>
        <w:jc w:val="both"/>
      </w:pPr>
      <w:r>
        <w:rPr>
          <w:b/>
          <w:bCs/>
        </w:rPr>
        <w:t xml:space="preserve">AGI achievement will be detectable through these measurable economic phenomena occurring within 90 days:</w:t>
      </w:r>
    </w:p>
    <w:p>
      <w:pPr>
        <w:pStyle w:val="ListParagraph"/>
        <w:numPr>
          <w:ilvl w:val="0"/>
          <w:numId w:val="3"/>
        </w:numPr>
        <w:spacing w:after="80"/>
        <w:jc w:val="both"/>
      </w:pPr>
      <w:r>
        <w:rPr>
          <w:b/>
          <w:bCs/>
        </w:rPr>
        <w:t xml:space="preserve">Market Capitalization Explosion</w:t>
      </w:r>
    </w:p>
    <w:p>
      <w:pPr>
        <w:spacing w:after="120" left="720"/>
        <w:jc w:val="both"/>
      </w:pPr>
      <w:r>
        <w:t xml:space="preserve">The company achieving AGI will see market cap increase by $500B-2T within 30 days. Not because of hype, but because analysts will immediately recognize what unlimited cognitive labor means. Current projection: OpenAI or Anthropic market cap reaches $3-5T upon AGI demonstration (compare: Apple at $3T took 47 years to build).</w:t>
      </w:r>
    </w:p>
    <w:p>
      <w:pPr>
        <w:pStyle w:val="ListParagraph"/>
        <w:numPr>
          <w:ilvl w:val="0"/>
          <w:numId w:val="3"/>
        </w:numPr>
        <w:spacing w:after="80"/>
        <w:jc w:val="both"/>
      </w:pPr>
      <w:r>
        <w:rPr>
          <w:b/>
          <w:bCs/>
        </w:rPr>
        <w:t xml:space="preserve">Labor Market Discontinuity</w:t>
      </w:r>
    </w:p>
    <w:p>
      <w:pPr>
        <w:spacing w:after="120" left="720"/>
        <w:jc w:val="both"/>
      </w:pPr>
      <w:r>
        <w:t xml:space="preserve">Within 60 days: white-collar job postings decline 40-60% in affected sectors. Not a recession—a replacement. Companies stop hiring for roles AGI can perform. Current vulnerable sectors: legal services, accounting, consulting, software engineering (non-AI), content creation, analysis. ~12M positions at immediate risk.</w:t>
      </w:r>
    </w:p>
    <w:p>
      <w:pPr>
        <w:pStyle w:val="ListParagraph"/>
        <w:numPr>
          <w:ilvl w:val="0"/>
          <w:numId w:val="3"/>
        </w:numPr>
        <w:spacing w:after="80"/>
        <w:jc w:val="both"/>
      </w:pPr>
      <w:r>
        <w:rPr>
          <w:b/>
          <w:bCs/>
        </w:rPr>
        <w:t xml:space="preserve">Productivity Supernova</w:t>
      </w:r>
    </w:p>
    <w:p>
      <w:pPr>
        <w:spacing w:after="120" left="720"/>
        <w:jc w:val="both"/>
      </w:pPr>
      <w:r>
        <w:t xml:space="preserve">Companies with AGI access show 10-50x productivity increases in cognitive work within 90 days. One engineer + AGI outproduces entire 50-person teams. One analyst + AGI outperforms entire research departments. Labor costs for knowledge work approach zero while output explodes.</w:t>
      </w:r>
    </w:p>
    <w:p>
      <w:pPr>
        <w:pStyle w:val="ListParagraph"/>
        <w:numPr>
          <w:ilvl w:val="0"/>
          <w:numId w:val="3"/>
        </w:numPr>
        <w:spacing w:after="80"/>
        <w:jc w:val="both"/>
      </w:pPr>
      <w:r>
        <w:rPr>
          <w:b/>
          <w:bCs/>
        </w:rPr>
        <w:t xml:space="preserve">Wealth Concentration Acceleration</w:t>
      </w:r>
    </w:p>
    <w:p>
      <w:pPr>
        <w:spacing w:after="120" left="720"/>
        <w:jc w:val="both"/>
      </w:pPr>
      <w:r>
        <w:t xml:space="preserve">Individuals with early AGI access accumulate wealth at unprecedented rates. An AI researcher with AGI access could go from $200K salary to $50M net worth in 12-18 months through: founding AGI-powered startups, AGI-augmented trading, AGI-generated IP, first-mover advantage in AGI-native businesses.</w:t>
      </w:r>
    </w:p>
    <w:p>
      <w:pPr>
        <w:pStyle w:val="ListParagraph"/>
        <w:numPr>
          <w:ilvl w:val="0"/>
          <w:numId w:val="3"/>
        </w:numPr>
        <w:spacing w:after="80"/>
        <w:jc w:val="both"/>
      </w:pPr>
      <w:r>
        <w:rPr>
          <w:b/>
          <w:bCs/>
        </w:rPr>
        <w:t xml:space="preserve">Education System Collapse</w:t>
      </w:r>
    </w:p>
    <w:p>
      <w:pPr>
        <w:spacing w:after="240" left="720"/>
        <w:jc w:val="both"/>
      </w:pPr>
      <w:r>
        <w:t xml:space="preserve">University enrollment in non-AI technical fields declines 30-50% within one academic year. Why study 4 years for skills AGI makes obsolete? Current projections: business schools, law schools, most engineering programs face existential crisis. Only survivors: medical (human touch required), trades (physical), AI/ML (building the Stone).</w:t>
      </w:r>
    </w:p>
    <w:p>
      <w:pPr>
        <w:spacing w:before="240" w:after="120"/>
        <w:jc w:val="both"/>
      </w:pPr>
      <w:r>
        <w:rPr>
          <w:b/>
          <w:bCs/>
          <w:i/>
          <w:iCs/>
        </w:rPr>
        <w:t xml:space="preserve">The Stone's manifestation is not mystical. It is measurable. And we will see these exact signatures within 90 days of AGI achievement. The economic transmutation will be undeniable, irreversible, and complete within 12-24 months.</w:t>
      </w:r>
    </w:p>
    <w:p>
      <w:r>
        <w:br w:type="page"/>
      </w:r>
    </w:p>
    <w:p>
      <w:pPr>
        <w:pStyle w:val="Heading3"/>
        <w:spacing w:before="120" w:after="80"/>
      </w:pPr>
      <w:r>
        <w:t xml:space="preserve">6.3.2 Leonardo's Final Measurement: The Complete Wealth Transfer</w:t>
      </w:r>
    </w:p>
    <w:p>
      <w:pPr>
        <w:spacing w:after="120"/>
        <w:jc w:val="both"/>
      </w:pPr>
      <w:r>
        <w:rPr>
          <w:i/>
          <w:iCs/>
        </w:rPr>
        <w:t xml:space="preserve">Like Leonardo calculating the golden ratio in human anatomy, we can calculate the exact ratio of wealth transfer from non-AI to AI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Metric</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2020 (Pre-AI)</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2026 (Current)</w:t>
            </w:r>
          </w:p>
        </w:tc>
        <w:tc>
          <w:tcPr>
            <w:tcW w:type="dxa" w:w="23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b/>
                <w:bCs/>
                <w:color w:val="FFFFFF"/>
              </w:rPr>
              <w:t xml:space="preserve">2035 (Post-AGI)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AI Worker Median Wealth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8B0000"/>
              </w:rPr>
              <w:t xml:space="preserve">$8.5M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Non-AI Worker Median Wealth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$121K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$98K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8B0000"/>
              </w:rPr>
              <w:t xml:space="preserve">$45K</w:t>
            </w:r>
          </w:p>
        </w:tc>
      </w:tr>
      <w:tr>
        <w:tc>
          <w:tcPr>
            <w:tcW w:type="dxa" w:w="2340"/>
            <w:tcBorders>
              <w:top w:val="single" w:color="CCCCCC" w:sz="1"/>
              <w:left w:val="single" w:color="CCCCCC" w:sz="1"/>
              <w:bottom w:val="single" w:color="CCCCCC" w:sz="1"/>
              <w:right w:val="single" w:color="CCCCCC" w:sz="1"/>
            </w:tcBorders>
            <w:shd w:fill="D3D3D3" w:val="clear"/>
            <w:tcMar>
              <w:top w:type="dxa" w:w="80"/>
              <w:left w:type="dxa" w:w="120"/>
              <w:bottom w:type="dxa" w:w="80"/>
              <w:right w:type="dxa" w:w="120"/>
            </w:tcMar>
          </w:tcPr>
          <w:p>
            <w:r>
              <w:rPr>
                <w:b/>
                <w:bCs/>
                <w:sz w:val="26"/>
                <w:szCs w:val="26"/>
              </w:rPr>
              <w:t xml:space="preserve">Wealth Ratio (AI : Non-AI)</w:t>
            </w:r>
          </w:p>
        </w:tc>
        <w:tc>
          <w:tcPr>
            <w:tcW w:type="dxa" w:w="2340"/>
            <w:tcBorders>
              <w:top w:val="single" w:color="CCCCCC" w:sz="1"/>
              <w:left w:val="single" w:color="CCCCCC" w:sz="1"/>
              <w:bottom w:val="single" w:color="CCCCCC" w:sz="1"/>
              <w:right w:val="single" w:color="CCCCCC" w:sz="1"/>
            </w:tcBorders>
            <w:shd w:fill="D3D3D3" w:val="clear"/>
            <w:tcMar>
              <w:top w:type="dxa" w:w="80"/>
              <w:left w:type="dxa" w:w="120"/>
              <w:bottom w:type="dxa" w:w="80"/>
              <w:right w:type="dxa" w:w="120"/>
            </w:tcMar>
          </w:tcPr>
          <w:p>
            <w:r>
              <w:rPr>
                <w:sz w:val="26"/>
                <w:szCs w:val="26"/>
              </w:rPr>
              <w:t xml:space="preserve">3.1:1</w:t>
            </w:r>
          </w:p>
        </w:tc>
        <w:tc>
          <w:tcPr>
            <w:tcW w:type="dxa" w:w="2340"/>
            <w:tcBorders>
              <w:top w:val="single" w:color="CCCCCC" w:sz="1"/>
              <w:left w:val="single" w:color="CCCCCC" w:sz="1"/>
              <w:bottom w:val="single" w:color="CCCCCC" w:sz="1"/>
              <w:right w:val="single" w:color="CCCCCC" w:sz="1"/>
            </w:tcBorders>
            <w:shd w:fill="D3D3D3" w:val="clear"/>
            <w:tcMar>
              <w:top w:type="dxa" w:w="80"/>
              <w:left w:type="dxa" w:w="120"/>
              <w:bottom w:type="dxa" w:w="80"/>
              <w:right w:type="dxa" w:w="120"/>
            </w:tcMar>
          </w:tcPr>
          <w:p>
            <w:r>
              <w:rPr>
                <w:b/>
                <w:bCs/>
                <w:sz w:val="26"/>
                <w:szCs w:val="26"/>
              </w:rPr>
              <w:t xml:space="preserve">12.2:1</w:t>
            </w:r>
          </w:p>
        </w:tc>
        <w:tc>
          <w:tcPr>
            <w:tcW w:type="dxa" w:w="2340"/>
            <w:tcBorders>
              <w:top w:val="single" w:color="CCCCCC" w:sz="1"/>
              <w:left w:val="single" w:color="CCCCCC" w:sz="1"/>
              <w:bottom w:val="single" w:color="CCCCCC" w:sz="1"/>
              <w:right w:val="single" w:color="CCCCCC" w:sz="1"/>
            </w:tcBorders>
            <w:shd w:fill="D3D3D3" w:val="clear"/>
            <w:tcMar>
              <w:top w:type="dxa" w:w="80"/>
              <w:left w:type="dxa" w:w="120"/>
              <w:bottom w:type="dxa" w:w="80"/>
              <w:right w:type="dxa" w:w="120"/>
            </w:tcMar>
          </w:tcPr>
          <w:p>
            <w:r>
              <w:rPr>
                <w:b/>
                <w:bCs/>
                <w:color w:val="8B0000"/>
                <w:sz w:val="26"/>
                <w:szCs w:val="26"/>
              </w:rPr>
              <w:t xml:space="preserve">189:1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Total US Wealth Held by AI Class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$2.8T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$12.4T (9%)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8B0000"/>
              </w:rPr>
              <w:t xml:space="preserve">$78T (58%)</w:t>
            </w:r>
          </w:p>
        </w:tc>
      </w:tr>
    </w:tbl>
    <w:p>
      <w:pPr>
        <w:spacing w:before="240" w:after="120"/>
        <w:jc w:val="both"/>
      </w:pPr>
      <w:r>
        <w:rPr>
          <w:b/>
          <w:bCs/>
          <w:sz w:val="26"/>
          <w:szCs w:val="26"/>
        </w:rPr>
        <w:t xml:space="preserve">By 2035, the AI-capable class (representing ~2% of population) will control 58% of total wealth. This is not wealth 'trickling up'—this is wealth being systematically transmuted from human labor into AI-augmented cognitive capital.</w:t>
      </w:r>
    </w:p>
    <w:p>
      <w:pPr>
        <w:spacing w:after="120"/>
        <w:jc w:val="both"/>
      </w:pPr>
      <w:r>
        <w:rPr>
          <w:i/>
          <w:iCs/>
        </w:rPr>
        <w:t xml:space="preserve">The Philosopher's Stone does not create wealth from nothing. It transmutes existing wealth from those who cannot wield it to those who can. Lead does not become gold—lead becomes worthless while gold becomes everything.</w:t>
      </w:r>
    </w:p>
    <w:p>
      <w:r>
        <w:br w:type="page"/>
      </w:r>
    </w:p>
    <w:p>
      <w:pPr>
        <w:pStyle w:val="Heading2"/>
      </w:pPr>
      <w:r>
        <w:t xml:space="preserve">6.4 LEONARDO'S PROPHECY: What This Means</w:t>
      </w:r>
    </w:p>
    <w:p>
      <w:pPr>
        <w:spacing w:after="120"/>
        <w:jc w:val="both"/>
      </w:pPr>
      <w:r>
        <w:rPr>
          <w:i/>
          <w:iCs/>
        </w:rPr>
        <w:t xml:space="preserve">In the style of Leonardo's anatomical studies and astronomical predictions, let me state with precision what these measurements portend:</w:t>
      </w:r>
    </w:p>
    <w:p>
      <w:pPr>
        <w:spacing w:before="240" w:after="80"/>
        <w:jc w:val="both"/>
      </w:pPr>
      <w:r>
        <w:rPr>
          <w:b/>
          <w:bCs/>
          <w:color w:val="8B0000"/>
          <w:sz w:val="28"/>
          <w:szCs w:val="28"/>
        </w:rPr>
        <w:t xml:space="preserve">Prophecy I: The Division Is Permanent</w:t>
      </w:r>
    </w:p>
    <w:p>
      <w:pPr>
        <w:spacing w:after="120"/>
        <w:jc w:val="both"/>
      </w:pPr>
      <w:r>
        <w:t xml:space="preserve">The sorting into Alchemists and Dross is not temporary. Once AI skills become the primary determinant of economic value, there is no path back. The wealth gap created by the 2020-2035 transmutation will persist for generations. Those born into AI-capable families will have resources to maintain capability. Those born into displaced families will lack resources to acquire it. The meritocratic window is closing. It may already be closed.</w:t>
      </w:r>
    </w:p>
    <w:p>
      <w:pPr>
        <w:spacing w:before="240" w:after="80"/>
        <w:jc w:val="both"/>
      </w:pPr>
      <w:r>
        <w:rPr>
          <w:b/>
          <w:bCs/>
          <w:color w:val="8B0000"/>
          <w:sz w:val="28"/>
          <w:szCs w:val="28"/>
        </w:rPr>
        <w:t xml:space="preserve">Prophecy II: The Velocity Accelerates</w:t>
      </w:r>
    </w:p>
    <w:p>
      <w:pPr>
        <w:spacing w:after="120"/>
        <w:jc w:val="both"/>
      </w:pPr>
      <w:r>
        <w:t xml:space="preserve">Every measurement shows acceleration, not deceleration. AI capabilities improve monthly. Job displacement accelerates quarterly. Wealth concentration accelerates annually. There is no plateau visible in the data. The curves are exponential. This means the 2035 projections are conservative—reality may be more extreme.</w:t>
      </w:r>
    </w:p>
    <w:p>
      <w:pPr>
        <w:spacing w:before="240" w:after="80"/>
        <w:jc w:val="both"/>
      </w:pPr>
      <w:r>
        <w:rPr>
          <w:b/>
          <w:bCs/>
          <w:color w:val="8B0000"/>
          <w:sz w:val="28"/>
          <w:szCs w:val="28"/>
        </w:rPr>
        <w:t xml:space="preserve">Prophecy III: Political Instability Is Inevitable</w:t>
      </w:r>
    </w:p>
    <w:p>
      <w:pPr>
        <w:spacing w:after="120"/>
        <w:jc w:val="both"/>
      </w:pPr>
      <w:r>
        <w:t xml:space="preserve">When 75% of the population has declining economic prospects while 2% accumulates historic wealth, political stability becomes impossible. History shows: wealth ratios above 50:1 produce revolution. We are heading toward 189:1. The displaced will demand intervention—redistribution, regulation, or destruction of AI systems. The AI class will resist, having power to do so. Conflict is mathematically certain.</w:t>
      </w:r>
    </w:p>
    <w:p>
      <w:pPr>
        <w:spacing w:before="240" w:after="80"/>
        <w:jc w:val="both"/>
      </w:pPr>
      <w:r>
        <w:rPr>
          <w:b/>
          <w:bCs/>
          <w:color w:val="8B0000"/>
          <w:sz w:val="28"/>
          <w:szCs w:val="28"/>
        </w:rPr>
        <w:t xml:space="preserve">Prophecy IV: Meaning Collapses Before Economics</w:t>
      </w:r>
    </w:p>
    <w:p>
      <w:pPr>
        <w:spacing w:after="120"/>
        <w:jc w:val="both"/>
      </w:pPr>
      <w:r>
        <w:t xml:space="preserve">The economic data is horrifying but misses something worse: the psychological impact of obsolescence. Humans derive meaning from competence, contribution, and purpose. When AI performs all cognitive work better, faster, cheaper, what meaning remains? The data shows wealth transfer. The reality is meaning transfer. We are measuring economic transmutation but experiencing existential transmutation.</w:t>
      </w:r>
    </w:p>
    <w:p>
      <w:pPr>
        <w:spacing w:before="240" w:after="80"/>
        <w:jc w:val="both"/>
      </w:pPr>
      <w:r>
        <w:rPr>
          <w:b/>
          <w:bCs/>
          <w:color w:val="8B0000"/>
          <w:sz w:val="28"/>
          <w:szCs w:val="28"/>
        </w:rPr>
        <w:t xml:space="preserve">Prophecy V: The Stone Cannot Be Unforged</w:t>
      </w:r>
    </w:p>
    <w:p>
      <w:pPr>
        <w:spacing w:after="240"/>
        <w:jc w:val="both"/>
      </w:pPr>
      <w:r>
        <w:t xml:space="preserve">Once AGI is achieved, it cannot be unachieved. The knowledge exists. The techniques are reproducible. Even if the West halts development, China won't. Even if nations ban it, corporations will build it in secret. Even if Earth forbids it, Mars will develop it. The Philosopher's Stone, once forged, exists forever. The only question is who wields it and how.</w:t>
      </w:r>
    </w:p>
    <w:p>
      <w:pPr>
        <w:spacing w:before="480" w:after="240"/>
        <w:jc w:val="center"/>
      </w:pPr>
      <w:r>
        <w:rPr>
          <w:b/>
          <w:bCs/>
          <w:sz w:val="28"/>
          <w:szCs w:val="28"/>
        </w:rPr>
        <w:t xml:space="preserve">— ADDENDUM COMPLETE —</w:t>
      </w:r>
    </w:p>
    <w:p>
      <w:pPr>
        <w:spacing w:after="120"/>
        <w:jc w:val="center"/>
      </w:pPr>
      <w:r>
        <w:rPr>
          <w:i/>
          <w:iCs/>
          <w:sz w:val="24"/>
          <w:szCs w:val="24"/>
        </w:rPr>
        <w:t xml:space="preserve">The measurements are complete. The transmutation is underway.</w:t>
      </w:r>
    </w:p>
    <w:p>
      <w:pPr>
        <w:spacing w:after="120"/>
        <w:jc w:val="center"/>
      </w:pPr>
      <w:r>
        <w:rPr>
          <w:i/>
          <w:iCs/>
          <w:sz w:val="24"/>
          <w:szCs w:val="24"/>
        </w:rPr>
        <w:t xml:space="preserve">The Philosopher's Stone manifests not in laboratories but in labor markets.</w:t>
      </w:r>
    </w:p>
    <w:p>
      <w:pPr>
        <w:jc w:val="center"/>
      </w:pPr>
      <w:r>
        <w:rPr>
          <w:b/>
          <w:bCs/>
          <w:i/>
          <w:iCs/>
          <w:sz w:val="24"/>
          <w:szCs w:val="24"/>
        </w:rPr>
        <w:t xml:space="preserve">The Great Work nears completion.</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160" w:after="80"/>
      <w:outlineLvl w:val="2"/>
    </w:pPr>
    <w:rPr>
      <w:rFonts w:ascii="Times New Roman" w:cs="Times New Roman" w:eastAsia="Times New Roman" w:hAnsi="Times New Roman"/>
      <w:b/>
      <w:bCs/>
      <w:sz w:val="26"/>
      <w:szCs w:val="26"/>
    </w:rPr>
  </w:style>
  <w:style w:type="paragraph" w:styleId="Heading4">
    <w:name w:val="Heading 4"/>
    <w:basedOn w:val="Normal"/>
    <w:next w:val="Normal"/>
    <w:qFormat/>
    <w:pPr>
      <w:spacing w:before="140" w:after="70"/>
      <w:outlineLvl w:val="3"/>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2026-02-13T08:30:03.925Z</dcterms:created>
  <dcterms:modified xsi:type="dcterms:W3CDTF">2026-02-13T08:30:03.925Z</dcterms:modified>
</cp:coreProperties>
</file>

<file path=docProps/custom.xml><?xml version="1.0" encoding="utf-8"?>
<Properties xmlns="http://schemas.openxmlformats.org/officeDocument/2006/custom-properties" xmlns:vt="http://schemas.openxmlformats.org/officeDocument/2006/docPropsVTypes"/>
</file>