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2160"/>
        <w:gridCol w:w="2160"/>
        <w:gridCol w:w="2160"/>
        <w:gridCol w:w="2160"/>
      </w:tblGrid>
      <w:tr>
        <w:tc>
          <w:tcPr>
            <w:tcW w:type="dxa" w:w="2160"/>
          </w:tcPr>
          <w:p>
            <w:r>
              <w:t>Verslagleggen</w:t>
            </w:r>
          </w:p>
        </w:tc>
        <w:tc>
          <w:tcPr>
            <w:tcW w:type="dxa" w:w="2160"/>
          </w:tcPr>
          <w:p>
            <w:r>
              <w:t>Selecteren En Afbakenen</w:t>
            </w:r>
          </w:p>
        </w:tc>
        <w:tc>
          <w:tcPr>
            <w:tcW w:type="dxa" w:w="2160"/>
          </w:tcPr>
          <w:p>
            <w:r>
              <w:t>Bronnen</w:t>
            </w:r>
          </w:p>
        </w:tc>
        <w:tc>
          <w:tcPr>
            <w:tcW w:type="dxa" w:w="2160"/>
          </w:tcPr>
          <w:p>
            <w:r>
              <w:t>Het Nederlandse Restitutiebeleid</w:t>
            </w:r>
          </w:p>
        </w:tc>
      </w:tr>
      <w:tr>
        <w:tc>
          <w:tcPr>
            <w:tcW w:type="dxa" w:w="2160"/>
          </w:tcPr>
          <w:p>
            <w:r>
              <w:t>{'link': 'niveau1/Dutch/Reporting_20240501.yml', 'rel_type': 'see also'}</w:t>
            </w:r>
          </w:p>
        </w:tc>
        <w:tc>
          <w:tcPr>
            <w:tcW w:type="dxa" w:w="2160"/>
          </w:tcPr>
          <w:p>
            <w:r/>
          </w:p>
        </w:tc>
        <w:tc>
          <w:tcPr>
            <w:tcW w:type="dxa" w:w="2160"/>
          </w:tcPr>
          <w:p>
            <w:r/>
          </w:p>
        </w:tc>
        <w:tc>
          <w:tcPr>
            <w:tcW w:type="dxa" w:w="2160"/>
          </w:tcPr>
          <w:p>
            <w:r/>
          </w:p>
        </w:tc>
      </w:tr>
      <w:tr>
        <w:tc>
          <w:tcPr>
            <w:tcW w:type="dxa" w:w="2160"/>
          </w:tcPr>
          <w:p>
            <w:r/>
          </w:p>
        </w:tc>
        <w:tc>
          <w:tcPr>
            <w:tcW w:type="dxa" w:w="2160"/>
          </w:tcPr>
          <w:p>
            <w:r>
              <w:t>{'link': 'niveau1/Dutch/SelecterenEnAfbakenen_20240425.yml', 'rel_type': 'see also'}</w:t>
            </w:r>
          </w:p>
        </w:tc>
        <w:tc>
          <w:tcPr>
            <w:tcW w:type="dxa" w:w="2160"/>
          </w:tcPr>
          <w:p>
            <w:r/>
          </w:p>
        </w:tc>
        <w:tc>
          <w:tcPr>
            <w:tcW w:type="dxa" w:w="2160"/>
          </w:tcPr>
          <w:p>
            <w:r/>
          </w:p>
        </w:tc>
      </w:tr>
      <w:tr>
        <w:tc>
          <w:tcPr>
            <w:tcW w:type="dxa" w:w="2160"/>
          </w:tcPr>
          <w:p>
            <w:r/>
          </w:p>
        </w:tc>
        <w:tc>
          <w:tcPr>
            <w:tcW w:type="dxa" w:w="2160"/>
          </w:tcPr>
          <w:p>
            <w:r/>
          </w:p>
        </w:tc>
        <w:tc>
          <w:tcPr>
            <w:tcW w:type="dxa" w:w="2160"/>
          </w:tcPr>
          <w:p>
            <w:r>
              <w:t>{'link': 'niveau1/Dutch/Sources_20240425.yml', 'rel_type': 'see also'}</w:t>
            </w:r>
          </w:p>
        </w:tc>
        <w:tc>
          <w:tcPr>
            <w:tcW w:type="dxa" w:w="2160"/>
          </w:tcPr>
          <w:p>
            <w:r/>
          </w:p>
        </w:tc>
      </w:tr>
      <w:tr>
        <w:tc>
          <w:tcPr>
            <w:tcW w:type="dxa" w:w="2160"/>
          </w:tcPr>
          <w:p>
            <w:r/>
          </w:p>
        </w:tc>
        <w:tc>
          <w:tcPr>
            <w:tcW w:type="dxa" w:w="2160"/>
          </w:tcPr>
          <w:p>
            <w:r/>
          </w:p>
        </w:tc>
        <w:tc>
          <w:tcPr>
            <w:tcW w:type="dxa" w:w="2160"/>
          </w:tcPr>
          <w:p>
            <w:r/>
          </w:p>
        </w:tc>
        <w:tc>
          <w:tcPr>
            <w:tcW w:type="dxa" w:w="2160"/>
          </w:tcPr>
          <w:p>
            <w:r>
              <w:t>{'link': 'niveau1/Dutch/RestitutionPolicy_20250123.yml',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deze zoekhulp vind je informatie over welke stappen je moet volgen voor het doen van (herkomst)onderzoek en hoe je relevante informatie verzamelt.## Welke stappen kan je volgen?Herkomstonderzoek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zoekhulp.Stap 1: Collectie-onderzoekVoor collectiebeheerders: - Welke delen van de collectie en periodes van verzameling zijn relevant voor nader onderzoek? - Welke informatie kan voor grote delen van de collectie worden toegevoegd?Voor onderzoekers: - Welke collecties zijn bovengemiddeld interessant en waar kwamen de door jou onderzochte objecten doorgaans terecht. - Welke individuen of instellingen speelden daarbij een rol?Voor meer informatie over deze stap verwijzen we naar de zoekhulp Selecteren en afbakenen.Stap 2: Basisonderzoek- Het onderzoeken van het voorwerp zelf. Denk hierbij aan herkomstinformatie op het object in de vorm van gebruikssporen, nummeringen en informatiestickers, en de identificatie van de functie en de geografische en culturele herkomst.- Het raadplegen van de aanwezige collectiedocumentatie, zowel digitaal als op papier.- Het vaststellen van wie de huidige eigenaar het voorwerp heeft verworven, wanneer en op welke wijze.- Onderzoek naar de instelling of persoon van wie het voorwerp is verworven, gericht op het vaststellen van diens identiteit, zoals volledige naam, geboorte- en sterftejaar, beroep en plaats van vestiging en levensloop.Stap 3: Aanvullend onderzoekIn de meeste gevallen zal basisonderzoek niet leiden tot informatie over de manier waarop het voorwerp uit het gebied van herkomst is meegenomen. Hiervoor is aanvullend onderzoek nodig. 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 Onderzoek naar voorgaande bezitters en beheerders.- Onderzoek naar de wijze van verwerving in de koloniale context en de bredere context waarin dit plaatsvond.- Onderzoek naar het vroegere gebruik van het voorwerp.- Raadpleging van gemeenschappen van herkomst en andere deskundigen.Herkomstonderzoek naar individuele objecten is soms tijdrovend. Het onderzoek kan sneller verlopen als er sprake is van meerdere objecten die op hetzelfde moment verworven zijn. Zeker als er in de onderzoeksbronnen meerdere objecten worden genoemd.## Hoe kom je aan informatie?Bij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gemaakt.Mogelijke bronnen kunnen zijn:- Documentatie binnen de beherende instelling en voorgaande instellingen die het object enige tijd in bezit hadden.- Persoonsarchieven en egodocumenten- Archieven van instellingen en overheden- Kranten, boeken en tijdschriften- Beeldmateriaal (bijvoorbeeld foto's en tekeningen)- Kaarten en plattegronden- Gemeenschappen in de gebieden van herkomst- Deskundigen met kennis van het object of het koloniale verledenDe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 Literatuur over het doen van herkomstonderzoek- Mooren, Jona, Klaas Stutje. _Clues Research into Provenance History and Significance of Cultural Objects and Collections Acquired in Colonial Situations_ (Amsterdam: Rijksmuseum, 2022). - Yeide, Nancy, Konstantin Akinsha and Amy L. Walsh, _AAM Guide to Provenance Research_ (Washington D.C. 2001).- Lang, Sabine (ed.), _Guidelines for German Museums. Care of Collections from Colonial Contexts_. 2nd Edition (German Museums Association, 2019).- Deterts, Dorothea (ed.), _Recommendations for the Care of Human Remains in Museums and Collections_ (German Museums Association, 2013).- Pennock, Hanna and Simone Vermaat (eds.), _Onderzoek naar sporen van slavernij en het koloniale verleden in de collectieregistratie. Een handreiking_ (Rijksdienst voor het Cultureel Erfgoed, 2021).- Tips over onderzoek in Nederlandse archieven zijn te vinden op de website van Kennisnetwerk Informatie en Archief.- Specifiek voor het doen van onderzoek binnen het Nationaal Archief is er de zoekhulp Hoe doe ik onderzoek in archieven?.</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