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marinepersoneel in gekoloniseerde gebieden_</w:t>
        <w:br/>
        <w:t>_see also: Ambtenaren in gekoloniseerde gebieden_</w:t>
        <w:br/>
        <w:t>_see also: De handel in objecten uit een koloniale context_</w:t>
        <w:br/>
        <w:t>_see also: Zendelingen en missionarissen in gekoloniseerde gebieden_</w:t>
        <w:br/>
        <w:t>_see also: Wetenschappelijk onderzoek in gekoloniseerde gebieden_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