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Onderzoeken</w:t>
            </w:r>
          </w:p>
        </w:tc>
        <w:tc>
          <w:tcPr>
            <w:tcW w:type="dxa" w:w="1234"/>
          </w:tcPr>
          <w:p>
            <w:r>
              <w:t>Introductie Tot Het Doen Van Herkomstonderzoek</w:t>
            </w:r>
          </w:p>
        </w:tc>
        <w:tc>
          <w:tcPr>
            <w:tcW w:type="dxa" w:w="1234"/>
          </w:tcPr>
          <w:p>
            <w:r>
              <w:t>Leger En Marine</w:t>
            </w:r>
          </w:p>
        </w:tc>
        <w:tc>
          <w:tcPr>
            <w:tcW w:type="dxa" w:w="1234"/>
          </w:tcPr>
          <w:p>
            <w:r>
              <w:t>Ambtenaren</w:t>
            </w:r>
          </w:p>
        </w:tc>
        <w:tc>
          <w:tcPr>
            <w:tcW w:type="dxa" w:w="1234"/>
          </w:tcPr>
          <w:p>
            <w:r>
              <w:t>Handel</w:t>
            </w:r>
          </w:p>
        </w:tc>
        <w:tc>
          <w:tcPr>
            <w:tcW w:type="dxa" w:w="1234"/>
          </w:tcPr>
          <w:p>
            <w:r>
              <w:t>Zending En Missie</w:t>
            </w:r>
          </w:p>
        </w:tc>
        <w:tc>
          <w:tcPr>
            <w:tcW w:type="dxa" w:w="1234"/>
          </w:tcPr>
          <w:p>
            <w:r>
              <w:t>Wetenschap</w:t>
            </w:r>
          </w:p>
        </w:tc>
      </w:tr>
      <w:tr>
        <w:tc>
          <w:tcPr>
            <w:tcW w:type="dxa" w:w="1234"/>
          </w:tcPr>
          <w:p>
            <w:r>
              <w:t>{'link': 'niveau1/Dutch/DoingResearch_20240425.yml', 'rel_type': 'see also'}</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t>{'link': 'niveau1/Dutch/Introduction_20250120.yml', 'rel_type': 'see also'}</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t>{'link': 'niveau2/Dutch/MilitaryAndNavy_20240326.yml', 'rel_type': 'see also'}</w:t>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t>{'link': 'niveau2/Dutch/CivilServants_20240320.yml', 'rel_type': 'see also'}</w:t>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t>{'link': 'niveau2/Dutch/Trade_20240326.yml', 'rel_type': 'see also'}</w:t>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{'link': 'niveau2/Dutch/ChristianMission_20240326.yml', 'rel_type': 'see also'}</w:t>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t>{'link': 'niveau2/Dutch/Science_20240814.yml',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deze zoekhulp vind je informatie over hoe je voorwerpen selecteert voor je onderzoek en hoe je je (herkomst)onderzoek kan afbakenen.## Hoe herken je voorwerpen uit een koloniale context?In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 ## Hoe selecteer je voorwerpen met een problematische herkomst?Wanneer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 Er zijn verschillende categorieën voorwerpen die prioriteit kunnen krijgen in dit verband:- Voorwerpen en collecties die (wellicht elders) onderwerp zijn van een teruggaveverzoek - Menselijke resten - Voorwerpen die tentoongesteld gaan worden - Voorwerpen afkomstig uit gebieden waarvan bekend is dat er veel oorlogsbuit is meegenomen (bijvoorbeeld het koninkrijk van Benin, Soedan, Aceh of Lombok)- Beelden en andere versieringen afkomstig van of uit gebouwen en monumenten (bijvoorbeeld heiligdommen, tempels, moskeeën, mausolea of begraafplaatsen)- Voorwerpen afkomstig uit opgravingen, vooral als het om ongedocumenteerde vondsten gaatIndien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 Hoe selecteer je voorwerpen als je informatie wilt delen?Wanneer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 Hoe selecteer je voorwerpen als je een restitutieverzoek wilt voorbereiden?Soms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 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