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2024-04-25_</w:t>
        <w:br/>
        <w:t>_last edited by wiebe reints as original_author on 2024-04-25_</w:t>
      </w:r>
    </w:p>
    <w:p>
      <w:pPr>
        <w:pStyle w:val="BodyText"/>
      </w:pPr>
    </w:p>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BodyText"/>
      </w:pPr>
      <w:r>
        <w:t>_see also: Onderzoeken_</w:t>
        <w:br/>
        <w:t>_see also: Het Nederlandse restitutiebeleid_</w:t>
        <w:br/>
        <w:t>_see also: Ambtenaren in gekoloniseerde gebieden_</w:t>
        <w:br/>
        <w:t>_see also: De handel in objecten uit een koloniale context_</w:t>
        <w:br/>
        <w:t>_see also: Leger- en marinepersoneel in gekoloniseerde gebieden_</w:t>
        <w:br/>
        <w:t>_see also: Zendelingen en missionarissen in gekoloniseerde gebieden_</w:t>
        <w:br/>
        <w:t>_see also: Wetenschappelijk onderzoek in gekoloniseerde gebieden_</w:t>
        <w:br/>
        <w:t>_see also: Wereldmuseum Leiden_</w:t>
        <w:br/>
        <w:t>_see also: Koninklijk Instituut voor Taal- Land- en Volkenkunde_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