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2160"/>
        <w:gridCol w:w="2160"/>
        <w:gridCol w:w="2160"/>
        <w:gridCol w:w="2160"/>
      </w:tblGrid>
      <w:tr>
        <w:tc>
          <w:tcPr>
            <w:tcW w:type="dxa" w:w="2160"/>
          </w:tcPr>
          <w:p>
            <w:r>
              <w:t>Sources</w:t>
            </w:r>
          </w:p>
        </w:tc>
        <w:tc>
          <w:tcPr>
            <w:tcW w:type="dxa" w:w="2160"/>
          </w:tcPr>
          <w:p>
            <w:r>
              <w:t>Select And Delineate</w:t>
            </w:r>
          </w:p>
        </w:tc>
        <w:tc>
          <w:tcPr>
            <w:tcW w:type="dxa" w:w="2160"/>
          </w:tcPr>
          <w:p>
            <w:r>
              <w:t>Reporting</w:t>
            </w:r>
          </w:p>
        </w:tc>
        <w:tc>
          <w:tcPr>
            <w:tcW w:type="dxa" w:w="2160"/>
          </w:tcPr>
          <w:p>
            <w:r>
              <w:t>The Dutch Restitution Policy</w:t>
            </w:r>
          </w:p>
        </w:tc>
      </w:tr>
      <w:tr>
        <w:tc>
          <w:tcPr>
            <w:tcW w:type="dxa" w:w="2160"/>
          </w:tcPr>
          <w:p>
            <w:r>
              <w:t>{'link': 'niveau1/English/Sources_20240501.yml', 'rel_type': 'see also'}</w:t>
            </w:r>
          </w:p>
        </w:tc>
        <w:tc>
          <w:tcPr>
            <w:tcW w:type="dxa" w:w="2160"/>
          </w:tcPr>
          <w:p>
            <w:r/>
          </w:p>
        </w:tc>
        <w:tc>
          <w:tcPr>
            <w:tcW w:type="dxa" w:w="2160"/>
          </w:tcPr>
          <w:p>
            <w:r/>
          </w:p>
        </w:tc>
        <w:tc>
          <w:tcPr>
            <w:tcW w:type="dxa" w:w="2160"/>
          </w:tcPr>
          <w:p>
            <w:r/>
          </w:p>
        </w:tc>
      </w:tr>
      <w:tr>
        <w:tc>
          <w:tcPr>
            <w:tcW w:type="dxa" w:w="2160"/>
          </w:tcPr>
          <w:p>
            <w:r/>
          </w:p>
        </w:tc>
        <w:tc>
          <w:tcPr>
            <w:tcW w:type="dxa" w:w="2160"/>
          </w:tcPr>
          <w:p>
            <w:r>
              <w:t>{'link': 'niveau1/English/SelectAndDelineate_20240425.yml', 'rel_type': 'see also'}</w:t>
            </w:r>
          </w:p>
        </w:tc>
        <w:tc>
          <w:tcPr>
            <w:tcW w:type="dxa" w:w="2160"/>
          </w:tcPr>
          <w:p>
            <w:r/>
          </w:p>
        </w:tc>
        <w:tc>
          <w:tcPr>
            <w:tcW w:type="dxa" w:w="2160"/>
          </w:tcPr>
          <w:p>
            <w:r/>
          </w:p>
        </w:tc>
      </w:tr>
      <w:tr>
        <w:tc>
          <w:tcPr>
            <w:tcW w:type="dxa" w:w="2160"/>
          </w:tcPr>
          <w:p>
            <w:r/>
          </w:p>
        </w:tc>
        <w:tc>
          <w:tcPr>
            <w:tcW w:type="dxa" w:w="2160"/>
          </w:tcPr>
          <w:p>
            <w:r/>
          </w:p>
        </w:tc>
        <w:tc>
          <w:tcPr>
            <w:tcW w:type="dxa" w:w="2160"/>
          </w:tcPr>
          <w:p>
            <w:r>
              <w:t>{'link': 'niveau1/English/Reporting_20240501.yml', 'rel_type': 'see also'}</w:t>
            </w:r>
          </w:p>
        </w:tc>
        <w:tc>
          <w:tcPr>
            <w:tcW w:type="dxa" w:w="2160"/>
          </w:tcPr>
          <w:p>
            <w:r/>
          </w:p>
        </w:tc>
      </w:tr>
      <w:tr>
        <w:tc>
          <w:tcPr>
            <w:tcW w:type="dxa" w:w="2160"/>
          </w:tcPr>
          <w:p>
            <w:r/>
          </w:p>
        </w:tc>
        <w:tc>
          <w:tcPr>
            <w:tcW w:type="dxa" w:w="2160"/>
          </w:tcPr>
          <w:p>
            <w:r/>
          </w:p>
        </w:tc>
        <w:tc>
          <w:tcPr>
            <w:tcW w:type="dxa" w:w="2160"/>
          </w:tcPr>
          <w:p>
            <w:r/>
          </w:p>
        </w:tc>
        <w:tc>
          <w:tcPr>
            <w:tcW w:type="dxa" w:w="2160"/>
          </w:tcPr>
          <w:p>
            <w:r>
              <w:t>{'link': 'niveau1/English/RestitutionPolicy_20250123.yml',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this research aid you find information on the steps you can follow during your (provenance) research and how you collect relevant information for your research.## What steps can you follow?Provenance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aid.Step 1: Collection researchFor collection managers: - Which parts of the collection and periods of collecting are relevant for further research? - What information can be added for multiple objects within the collection?For researchers: - Which collections are of particular interest and where did the objects you researched typically tend to end up? - Which individuals or institutions played a role in this?For more information about this step, please consult the research aid _Select and delineate_.Step 2: Basic research- Examining the object itself. This may include provenance information on the object in the form of traces of use, serial numbers and identification stickers as well as identifying its function and geographical and cultural origin. - Consulting the collection documentation available, both digitally and on paper.- Identifying when, how and from whom the current owner acquired the object.- Conducting research into the individual from whom the object was acquired with the aim of establishing their identity, such as their full name, year of birth and death, profession and place of residence.- Conducting research into the history of the museum.Step 2: Further researchIn most cases basic research will not lead to information about how the object was acquired in its region of origin. This will require further research.The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 Research into previous owners and custodians;- Research into the means of acquisition in the colonial context and the broader context in which this took place;- Research into the how the object was used;- Consultation with communities of origin and other experts.Research into the origin of individual objects can be time consuming. The process may go faster if multiple objects were acquired at the same time, especially where multiple objects are mentioned in the available source material.## How do you obtain information?Provenance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Netherlands.Possible sources include:- Documentation within the managing institution and previous institutions that held possession of the object for some time;- Personal archives and egodocuments;- Archives of institutions and governments;- Newspapers, books and magazines;- Visual material (for example photographs and drawings);- Maps and plans;- Communities in the areas of origin;- Experts with knowledge of the object or the colonial past.The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well.A number of the Dutch-language sources for provenance research into colonial collections have been digitalised, greatly facilitating the research. As digital databases are constantly being supplemented it may be worth repeating a previously unsuccessful query at a later date.## Literature on conducting provenance research - Mooren, Jona, Stutje, Klaas. _Clues; Research into provenance history and significance of cultural objects and collections acquired in colonial situations_ (Amsterdam: Rijksmuseum, 2022). - Yeide, Nancy, Akinsha, Konstantin and Walsh, Amy L. _AAM Guide to Provenance Research_ (Washington D.C. 2001).- Lang, Sabine (ed.), _Guidelines for German Museums. Care of Collections from Colonial Contexts_. 2nd Edition (German Museums Association, 2019).- Deterts, Dorothea (ed.), _Recommendations for the Care of Human Remains in Museums and Collections_ (German Museums Association, 2013).- Pennock, Hanna and Vermaat, Simone (eds.), Onderzoek naar sporen van slavernij en het koloniale verleden in de collectieregistratie. Een handreiking_ (Rijksdienst voor het Cultureel Erfgoed, 2021).- Tips on researching Dutch archives can be found on the YouTube channel of the Kennisnetwerk Informatie en Archief Knowledge Network Information and Archives.- Specifically for conducting research in the National Archives of the Netherlands there is the research aid How do I conduct research in archives? (Dutch only).</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