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2024-04-25_</w:t>
        <w:br/>
        <w:t>_last edited by abacus as translator on 2025-03-12_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Army and navy personnel in colonised territories_</w:t>
        <w:br/>
        <w:t>_see also: Civil servants in colonised territories_</w:t>
        <w:br/>
        <w:t>_see also: The trade in objects from a colonial context_</w:t>
        <w:br/>
        <w:t>_see also: Christian missionaries in colonised territories_</w:t>
        <w:br/>
        <w:t>_see also: Scientific research in colonised territories_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