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Leger en Marine</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BodyText"/>
      </w:pPr>
      <w:r>
        <w:t>_see also: Bronnen_</w:t>
        <w:br/>
        <w:t>_see also: Selecteren en afbakenen_</w:t>
        <w:br/>
        <w:t>_see also: Ambtenaren_</w:t>
        <w:br/>
        <w:t>_see also: Wetenschap_</w:t>
        <w:br/>
        <w:t>_see also: Handel_</w:t>
        <w:br/>
        <w:t>_see also: Koninklijk Kabinet van Zeldzaamheden_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Beeldcollectie:</w:t>
      </w:r>
    </w:p>
    <w:p>
      <w:pPr>
        <w:pStyle w:val="BodyText"/>
      </w:pPr>
    </w:p>
    <w:p>
      <w:pPr>
        <w:pStyle w:val="BodyText"/>
      </w:pPr>
    </w:p>
    <w:p>
      <w:pPr>
        <w:pStyle w:val="BodyText"/>
      </w:pPr>
      <w:r>
        <w:t>Museum:</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Zoekhulp:</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Adelborst, Luitenant-ter-zee, Matroos, Officier, Onderofficier, Soldaat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