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2025-06-02_</w:t>
      </w:r>
    </w:p>
    <w:p>
      <w:pPr>
        <w:pStyle w:val="BodyText"/>
      </w:pPr>
    </w:p>
    <w:p>
      <w:pPr>
        <w:pStyle w:val="Title"/>
      </w:pPr>
      <w:r>
        <w:t>Wetenschap</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BodyText"/>
      </w:pPr>
      <w:r>
        <w:t>_see also: Selecteren en afbakenen_</w:t>
        <w:br/>
        <w:t>_see also: Bronnen_</w:t>
        <w:br/>
        <w:t>_see also: Ambtenaren_</w:t>
        <w:br/>
        <w:t>_see also: Leger en Marine_</w:t>
        <w:br/>
        <w:t>_see also: Zending en Missie_</w:t>
        <w:br/>
        <w:t>_see also: Koninklijk Bataviaasch Genootschap van Kunsten en Wetenschappen_</w:t>
        <w:br/>
        <w:t>_see also: Etnografisch Museum Artis_</w:t>
        <w:br/>
        <w:t>_see also: Koninklijk Instituut voor Taal- Land- en Volkenkunde_</w:t>
        <w:br/>
        <w:t>_see also: Naturalis Biodiversity Center_</w:t>
        <w:br/>
        <w:t>_see also: Wereldmuseum Amsterdam_</w:t>
        <w:br/>
        <w:t>_see also: Wereldmuseum Leiden_</w:t>
        <w:br/>
        <w:t>_see also: Wereldmuseum Rotterdam_</w:t>
        <w:br/>
        <w:t>_see also: Wageningen University &amp; Research_</w:t>
        <w:br/>
        <w:t>_see also: Rijksmuseum Amsterdam_</w:t>
        <w:br/>
        <w:t>_see also: Rijksmuseum van Oudheden_</w:t>
        <w:br/>
        <w:t>_see also: C.G.C. Reinwardt_</w:t>
      </w:r>
    </w:p>
    <w:p>
      <w:pPr>
        <w:pStyle w:val="BodyText"/>
      </w:pPr>
    </w:p>
    <w:p>
      <w:pPr>
        <w:pStyle w:val="Heading1"/>
      </w:pPr>
      <w:r>
        <w:t>Secondary sources</w:t>
      </w:r>
    </w:p>
    <w:p>
      <w:pPr>
        <w:pStyle w:val="BodyText"/>
      </w:pPr>
    </w:p>
    <w:p>
      <w:pPr>
        <w:pStyle w:val="BodyText"/>
      </w:pPr>
      <w:r>
        <w:t>Boek: Kuitenbrouwer, Maarten. Tussen oriëntalisme en wetenschap: het Koninklijk Instituut voor Taal-, Land- en Volkenkunde in historisch verband 1851-2001 (Leiden: KITLV Uitgeverij, 2001).</w:t>
        <w:br/>
        <w:t>https://search.worldcat.org/title/47826802?oclcNum=47826802, ISBN 9789067181747, WorldCat 47826802</w:t>
        <w:br/>
        <w:t>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r>
    </w:p>
    <w:p>
      <w:pPr>
        <w:pStyle w:val="BodyText"/>
      </w:pPr>
    </w:p>
    <w:p>
      <w:pPr>
        <w:pStyle w:val="BodyText"/>
      </w:pPr>
      <w:r>
        <w:t>Boek: Holthuis, Lipke. 1820 - 1958 : Rijksmuseum Van Natuurlijke Historie (Nationaal Natuurhistorisch Museum: Leiden, 1995).</w:t>
        <w:br/>
        <w:t>WorldCat 69079231, https://repository.naturalis.nl/pub/268714</w:t>
        <w:br/>
        <w:t>_Boek uit 1995 dat de geschiedenis van het toenmalig Nationaal Natuurhistorisch Museum van 1820 tot en met 1958 beschrijft. Bevat gestructureerde informatie over de opbouw van de museumcollectie en de toenmalige conservatoren._</w:t>
      </w:r>
    </w:p>
    <w:p>
      <w:pPr>
        <w:pStyle w:val="BodyText"/>
      </w:pPr>
    </w:p>
    <w:p>
      <w:pPr>
        <w:pStyle w:val="BodyText"/>
      </w:pPr>
      <w:r>
        <w:t>Artikel: Weber, Andreas. 'Collecting Colonial Nature: European Naturalists and the Netherlands Indies in the Early Nineteenth Century'. BMGN - Low Countries Historical Review 134, no. 3 (26 September 2019): 72-95.</w:t>
        <w:br/>
        <w:t>WorldCat 9627499338, https://doi.org/10.18352/bmgn-lchr.10741</w:t>
        <w:br/>
        <w:t>_Artikel over de geschiedenis van de Natuurkundige Commissie voor Nederlandsch-Indië._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Onderzoekers, Wetenschap</w:t>
        <w:br/>
        <w:t>,</w:t>
        <w:br/>
        <w:t xml:space="preserve">  Type of objects:</w:t>
      </w:r>
    </w:p>
    <w:p>
      <w:pPr>
        <w:pStyle w:val="BodyText"/>
      </w:pPr>
    </w:p>
    <w:p>
      <w:pPr>
        <w:pStyle w:val="BodyText"/>
      </w:pPr>
      <w:r>
        <w:t>Natuurhistorische objecten, Etnografica</w:t>
        <w:br/>
        <w:t>,</w:t>
        <w:br/>
        <w:t xml:space="preserve">  Geographical:</w:t>
      </w:r>
    </w:p>
    <w:p>
      <w:pPr>
        <w:pStyle w:val="BodyText"/>
      </w:pPr>
    </w:p>
    <w:p>
      <w:pPr>
        <w:pStyle w:val="BodyText"/>
      </w:pPr>
      <w:r>
        <w:t>Indonesië, Suriname, ABCSSS-eilanden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