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w:t>
        <w:br/>
        <w:t xml:space="preserve">        (applies to section: Content)_</w:t>
      </w:r>
    </w:p>
    <w:p>
      <w:pPr>
        <w:pStyle w:val="BodyText"/>
      </w:pPr>
    </w:p>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Artis Ethnographic Museum_</w:t>
        <w:br/>
        <w:t>_see also: Volkenkundig Museum 'Gerardus van der Leeuw'_</w:t>
        <w:br/>
        <w:t>_see also: Hoofdcursus Kampen_</w:t>
        <w:br/>
        <w:t>_see also: Volkenkundig Museum Justinus van Nassau_</w:t>
        <w:br/>
        <w:t>_see also: Royal Cabinet of Curiosities_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